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7F" w:rsidRPr="005D4D71" w:rsidRDefault="00E74C7F" w:rsidP="00E74C7F">
      <w:pPr>
        <w:spacing w:after="40"/>
        <w:jc w:val="center"/>
        <w:rPr>
          <w:rFonts w:ascii="Times New Roman" w:hAnsi="Times New Roman" w:cs="Times New Roman"/>
          <w:caps/>
          <w:sz w:val="24"/>
        </w:rPr>
      </w:pPr>
      <w:r w:rsidRPr="005D4D71">
        <w:rPr>
          <w:rFonts w:ascii="Times New Roman" w:hAnsi="Times New Roman" w:cs="Times New Roman"/>
          <w:caps/>
          <w:sz w:val="24"/>
        </w:rPr>
        <w:fldChar w:fldCharType="begin"/>
      </w:r>
      <w:r w:rsidRPr="005D4D71">
        <w:rPr>
          <w:rFonts w:ascii="Times New Roman" w:hAnsi="Times New Roman" w:cs="Times New Roman"/>
          <w:caps/>
          <w:sz w:val="24"/>
        </w:rPr>
        <w:instrText xml:space="preserve"> MERGEFIELD  Nom_EPLE \* Upper </w:instrText>
      </w:r>
      <w:r w:rsidRPr="005D4D71">
        <w:rPr>
          <w:rFonts w:ascii="Times New Roman" w:hAnsi="Times New Roman" w:cs="Times New Roman"/>
          <w:caps/>
          <w:sz w:val="24"/>
        </w:rPr>
        <w:fldChar w:fldCharType="separate"/>
      </w:r>
      <w:r>
        <w:rPr>
          <w:rFonts w:ascii="Times New Roman" w:hAnsi="Times New Roman" w:cs="Times New Roman"/>
          <w:noProof/>
          <w:sz w:val="24"/>
        </w:rPr>
        <w:t>«NOM_EPLE»</w:t>
      </w:r>
      <w:r w:rsidRPr="005D4D71">
        <w:rPr>
          <w:rFonts w:ascii="Times New Roman" w:hAnsi="Times New Roman" w:cs="Times New Roman"/>
          <w:caps/>
          <w:sz w:val="24"/>
        </w:rPr>
        <w:fldChar w:fldCharType="end"/>
      </w:r>
    </w:p>
    <w:p w:rsidR="00E74C7F" w:rsidRPr="007271F0" w:rsidRDefault="00E74C7F" w:rsidP="00E74C7F">
      <w:pPr>
        <w:spacing w:after="4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MERGEFIELD VILLE_EPLE </w:instrText>
      </w:r>
      <w:r>
        <w:rPr>
          <w:rFonts w:ascii="Times New Roman" w:hAnsi="Times New Roman" w:cs="Times New Roman"/>
          <w:sz w:val="24"/>
        </w:rPr>
        <w:fldChar w:fldCharType="separate"/>
      </w:r>
      <w:r>
        <w:rPr>
          <w:rFonts w:ascii="Times New Roman" w:hAnsi="Times New Roman" w:cs="Times New Roman"/>
          <w:noProof/>
          <w:sz w:val="24"/>
        </w:rPr>
        <w:t>«VILLE_EPLE»</w:t>
      </w:r>
      <w:r>
        <w:rPr>
          <w:rFonts w:ascii="Times New Roman" w:hAnsi="Times New Roman" w:cs="Times New Roman"/>
          <w:sz w:val="24"/>
        </w:rPr>
        <w:fldChar w:fldCharType="end"/>
      </w:r>
    </w:p>
    <w:p w:rsidR="00E74C7F" w:rsidRPr="007271F0" w:rsidRDefault="00E74C7F" w:rsidP="00E74C7F">
      <w:pPr>
        <w:spacing w:after="120"/>
        <w:rPr>
          <w:rStyle w:val="Emphaseple"/>
        </w:rPr>
      </w:pPr>
    </w:p>
    <w:p w:rsidR="00E74C7F" w:rsidRDefault="00E74C7F" w:rsidP="00E74C7F">
      <w:pPr>
        <w:pBdr>
          <w:bottom w:val="single" w:sz="4" w:space="1" w:color="auto"/>
        </w:pBdr>
        <w:spacing w:after="120"/>
        <w:jc w:val="center"/>
        <w:rPr>
          <w:rFonts w:ascii="Arial Narrow" w:hAnsi="Arial Narrow"/>
          <w:b/>
          <w:sz w:val="36"/>
          <w:szCs w:val="36"/>
        </w:rPr>
      </w:pPr>
      <w:r>
        <w:rPr>
          <w:rFonts w:ascii="Arial Narrow" w:hAnsi="Arial Narrow"/>
          <w:b/>
          <w:sz w:val="36"/>
          <w:szCs w:val="36"/>
        </w:rPr>
        <w:t>NOMINATION D’UN RÉGISSEUR</w:t>
      </w:r>
    </w:p>
    <w:p w:rsidR="00E74C7F" w:rsidRPr="00D64FF0" w:rsidRDefault="00E74C7F" w:rsidP="00E74C7F">
      <w:pPr>
        <w:pBdr>
          <w:bottom w:val="single" w:sz="4" w:space="1" w:color="auto"/>
        </w:pBdr>
        <w:spacing w:after="120"/>
        <w:jc w:val="center"/>
        <w:rPr>
          <w:rFonts w:ascii="Arial Narrow" w:hAnsi="Arial Narrow"/>
          <w:b/>
          <w:sz w:val="36"/>
          <w:szCs w:val="36"/>
        </w:rPr>
      </w:pPr>
      <w:r>
        <w:rPr>
          <w:rFonts w:ascii="Arial Narrow" w:hAnsi="Arial Narrow"/>
          <w:b/>
          <w:sz w:val="36"/>
          <w:szCs w:val="36"/>
        </w:rPr>
        <w:t>POUR LA RÉGIE PERMANENTE D’AVANCES ET DE RECETTES</w:t>
      </w:r>
    </w:p>
    <w:sdt>
      <w:sdtPr>
        <w:rPr>
          <w:rFonts w:ascii="Arial Narrow" w:hAnsi="Arial Narrow"/>
          <w:b/>
          <w:sz w:val="20"/>
          <w:szCs w:val="20"/>
        </w:rPr>
        <w:id w:val="1246237464"/>
        <w:placeholder>
          <w:docPart w:val="00CD17BCB3AF4AB7951F0E860A20C4BC"/>
        </w:placeholder>
        <w:text/>
      </w:sdtPr>
      <w:sdtContent>
        <w:p w:rsidR="00E74C7F" w:rsidRPr="007271F0" w:rsidRDefault="00E74C7F" w:rsidP="00E74C7F">
          <w:pPr>
            <w:spacing w:after="120"/>
            <w:jc w:val="center"/>
            <w:rPr>
              <w:rFonts w:ascii="Arial Narrow" w:hAnsi="Arial Narrow"/>
              <w:b/>
              <w:sz w:val="20"/>
              <w:szCs w:val="20"/>
            </w:rPr>
          </w:pPr>
          <w:r>
            <w:rPr>
              <w:rFonts w:ascii="Arial Narrow" w:hAnsi="Arial Narrow"/>
              <w:b/>
              <w:sz w:val="20"/>
              <w:szCs w:val="20"/>
            </w:rPr>
            <w:t>12 février 2020</w:t>
          </w:r>
        </w:p>
      </w:sdtContent>
    </w:sdt>
    <w:p w:rsidR="00E74C7F" w:rsidRDefault="00E74C7F" w:rsidP="00E74C7F">
      <w:pPr>
        <w:spacing w:after="120"/>
        <w:jc w:val="both"/>
        <w:rPr>
          <w:rFonts w:ascii="ArialNarrow" w:hAnsi="ArialNarrow" w:cs="ArialNarrow"/>
          <w:color w:val="000000"/>
          <w:sz w:val="20"/>
          <w:szCs w:val="20"/>
        </w:rPr>
      </w:pPr>
    </w:p>
    <w:p w:rsidR="00E74C7F" w:rsidRPr="00052B60" w:rsidRDefault="00E74C7F" w:rsidP="00E74C7F">
      <w:pPr>
        <w:spacing w:after="120"/>
        <w:jc w:val="both"/>
        <w:rPr>
          <w:rFonts w:ascii="ArialNarrow" w:hAnsi="ArialNarrow" w:cs="ArialNarrow"/>
          <w:color w:val="000000"/>
          <w:sz w:val="20"/>
          <w:szCs w:val="20"/>
        </w:rPr>
      </w:pPr>
      <w:r w:rsidRPr="00052B60">
        <w:rPr>
          <w:rFonts w:ascii="ArialNarrow" w:hAnsi="ArialNarrow" w:cs="ArialNarrow"/>
          <w:color w:val="000000"/>
          <w:sz w:val="20"/>
          <w:szCs w:val="20"/>
        </w:rPr>
        <w:t>Le chef d’établissement,</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code de l’éducation, notamment l’article R421-70,</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le décret n°2012-1246 du </w:t>
      </w:r>
      <w:r>
        <w:rPr>
          <w:rFonts w:ascii="ArialNarrow" w:hAnsi="ArialNarrow" w:cs="ArialNarrow"/>
          <w:color w:val="000000"/>
          <w:sz w:val="20"/>
          <w:szCs w:val="20"/>
        </w:rPr>
        <w:t>0</w:t>
      </w:r>
      <w:r w:rsidRPr="00052B60">
        <w:rPr>
          <w:rFonts w:ascii="ArialNarrow" w:hAnsi="ArialNarrow" w:cs="ArialNarrow"/>
          <w:color w:val="000000"/>
          <w:sz w:val="20"/>
          <w:szCs w:val="20"/>
        </w:rPr>
        <w:t>7/11/2012 relatif à la gestion budgétaire et comptable publique des EPLE</w:t>
      </w:r>
      <w:r>
        <w:rPr>
          <w:rFonts w:ascii="ArialNarrow" w:hAnsi="ArialNarrow" w:cs="ArialNarrow"/>
          <w:color w:val="000000"/>
          <w:sz w:val="20"/>
          <w:szCs w:val="20"/>
        </w:rPr>
        <w:t>,</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le décret n°2008-227 du </w:t>
      </w:r>
      <w:r>
        <w:rPr>
          <w:rFonts w:ascii="ArialNarrow" w:hAnsi="ArialNarrow" w:cs="ArialNarrow"/>
          <w:color w:val="000000"/>
          <w:sz w:val="20"/>
          <w:szCs w:val="20"/>
        </w:rPr>
        <w:t>0</w:t>
      </w:r>
      <w:r w:rsidRPr="00052B60">
        <w:rPr>
          <w:rFonts w:ascii="ArialNarrow" w:hAnsi="ArialNarrow" w:cs="ArialNarrow"/>
          <w:color w:val="000000"/>
          <w:sz w:val="20"/>
          <w:szCs w:val="20"/>
        </w:rPr>
        <w:t xml:space="preserve">5/03/2008 relatif à la responsabilité personnelle et pécuniaire des régisseurs, </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décret n°85-924 du 30/08/1985 relatif aux établissements publics locaux d’enseignement,</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le décret n°92-681 du 20/07/1992 relatif aux régies de recettes et aux régies d’avances des organismes publics, modifié par les décrets n°92-1368 du 23/12/1992 et 97-33 du 13/01/1997,</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27/12/2001 relatif au seuil de dispense de cautionnement des régisseurs d’avances et des régisseurs de recettes,</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04/06/1996 relatif au montant par opération des dépenses de matériel et de fonctionnement payables par l’intermédiaire d’un régisseur d’avances, modifié par l’arrêté du 28/01/02,</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28/05/93 fixant le taux de l’indemnité susceptible d’être allouée aux régisseurs d’avances et aux régisseurs de recettes et le montant du cautionnement imposé éventuellement à ces agents, modifié par l’arrêté du 03/09/2001,</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Vu l’arrêté du 11/10/1993 modifié par l’arrêté du 10/09/1998 habilitant les chefs d’EPLE à instituer des régies d’avances et de recettes, modifié par les arrêtés des 21/12/2001, 21/11/05 et du 30/12/2014,</w:t>
      </w:r>
    </w:p>
    <w:p w:rsidR="00E74C7F" w:rsidRPr="00052B60" w:rsidRDefault="00E74C7F" w:rsidP="00E74C7F">
      <w:pPr>
        <w:numPr>
          <w:ilvl w:val="0"/>
          <w:numId w:val="1"/>
        </w:numPr>
        <w:tabs>
          <w:tab w:val="left" w:pos="851"/>
        </w:tabs>
        <w:spacing w:after="0" w:line="240" w:lineRule="auto"/>
        <w:ind w:left="851" w:hanging="284"/>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Vu la décision </w:t>
      </w:r>
      <w:r>
        <w:rPr>
          <w:rFonts w:ascii="ArialNarrow" w:hAnsi="ArialNarrow" w:cs="ArialNarrow"/>
          <w:color w:val="000000"/>
          <w:sz w:val="20"/>
          <w:szCs w:val="20"/>
        </w:rPr>
        <w:t>du 6 juin 2019</w:t>
      </w:r>
      <w:r w:rsidRPr="00052B60">
        <w:rPr>
          <w:rFonts w:ascii="ArialNarrow" w:hAnsi="ArialNarrow" w:cs="ArialNarrow"/>
          <w:color w:val="000000"/>
          <w:sz w:val="20"/>
          <w:szCs w:val="20"/>
        </w:rPr>
        <w:t xml:space="preserve"> instituant une régie permanente d'avances et de recettes,</w:t>
      </w:r>
    </w:p>
    <w:p w:rsidR="00E74C7F" w:rsidRPr="00052B60" w:rsidRDefault="00E74C7F" w:rsidP="00E74C7F">
      <w:pPr>
        <w:tabs>
          <w:tab w:val="left" w:pos="851"/>
        </w:tabs>
        <w:spacing w:after="0" w:line="240" w:lineRule="auto"/>
        <w:ind w:left="851"/>
        <w:jc w:val="both"/>
        <w:rPr>
          <w:rFonts w:ascii="ArialNarrow" w:hAnsi="ArialNarrow" w:cs="ArialNarrow"/>
          <w:color w:val="000000"/>
          <w:sz w:val="20"/>
          <w:szCs w:val="20"/>
        </w:rPr>
      </w:pPr>
    </w:p>
    <w:p w:rsidR="00E74C7F" w:rsidRPr="00052B60" w:rsidRDefault="00E74C7F" w:rsidP="00E74C7F">
      <w:pPr>
        <w:tabs>
          <w:tab w:val="left" w:pos="851"/>
        </w:tabs>
        <w:ind w:left="851"/>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 </w:t>
      </w:r>
    </w:p>
    <w:p w:rsidR="00E74C7F" w:rsidRPr="00052B60" w:rsidRDefault="00E74C7F" w:rsidP="00E74C7F">
      <w:pPr>
        <w:spacing w:before="120"/>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ARRETE</w:t>
      </w:r>
    </w:p>
    <w:p w:rsidR="00E74C7F" w:rsidRPr="00052B60" w:rsidRDefault="00E74C7F" w:rsidP="00E74C7F">
      <w:pPr>
        <w:spacing w:before="120"/>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1</w:t>
      </w:r>
    </w:p>
    <w:p w:rsidR="00E74C7F" w:rsidRPr="00052B60" w:rsidRDefault="00E74C7F" w:rsidP="00E74C7F">
      <w:pPr>
        <w:spacing w:before="120"/>
        <w:jc w:val="both"/>
        <w:rPr>
          <w:rFonts w:ascii="ArialNarrow" w:hAnsi="ArialNarrow" w:cs="ArialNarrow"/>
          <w:color w:val="000000"/>
          <w:sz w:val="20"/>
          <w:szCs w:val="20"/>
        </w:rPr>
      </w:pP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est nommé(e) régisseur de la régie permanente d'avances et de recettes avec pour mission d'appliquer exclusivement les dispositions prévues dans l'acte de création de celle-ci.</w:t>
      </w:r>
    </w:p>
    <w:p w:rsidR="00E74C7F" w:rsidRPr="00052B60" w:rsidRDefault="00E74C7F" w:rsidP="00E74C7F">
      <w:pPr>
        <w:spacing w:before="120"/>
        <w:jc w:val="both"/>
        <w:rPr>
          <w:rFonts w:ascii="ArialNarrow" w:hAnsi="ArialNarrow" w:cs="ArialNarrow"/>
          <w:b/>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2</w:t>
      </w:r>
    </w:p>
    <w:p w:rsidR="00E74C7F" w:rsidRPr="00052B60" w:rsidRDefault="00E74C7F" w:rsidP="00E74C7F">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En cas d'absence pour maladie, congé ou tout autre empêchement exceptionnel,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sera remplacé(e)</w:t>
      </w:r>
      <w:r>
        <w:rPr>
          <w:rFonts w:ascii="ArialNarrow" w:hAnsi="ArialNarrow" w:cs="ArialNarrow"/>
          <w:color w:val="000000"/>
          <w:sz w:val="20"/>
          <w:szCs w:val="20"/>
        </w:rPr>
        <w:t xml:space="preserve"> par</w:t>
      </w:r>
      <w:r w:rsidRPr="00052B60">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SuppPrénom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«SuppPrénom»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SuppNOM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«SuppNOM»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w:t>
      </w:r>
    </w:p>
    <w:p w:rsidR="00E74C7F" w:rsidRDefault="00E74C7F" w:rsidP="00E74C7F">
      <w:pPr>
        <w:spacing w:before="120"/>
        <w:jc w:val="both"/>
        <w:rPr>
          <w:rFonts w:ascii="ArialNarrow" w:hAnsi="ArialNarrow" w:cs="ArialNarrow"/>
          <w:b/>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3</w:t>
      </w:r>
    </w:p>
    <w:p w:rsidR="00E74C7F" w:rsidRPr="00052B60" w:rsidRDefault="00E74C7F" w:rsidP="00E74C7F">
      <w:pPr>
        <w:spacing w:before="120"/>
        <w:jc w:val="both"/>
        <w:rPr>
          <w:rFonts w:ascii="ArialNarrow" w:hAnsi="ArialNarrow" w:cs="ArialNarrow"/>
          <w:color w:val="000000"/>
          <w:sz w:val="20"/>
          <w:szCs w:val="20"/>
        </w:rPr>
      </w:pP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MandatairePrénom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«MandatairePrénom»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MandataireNOM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«MandataireNOM»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est désigné(e) mandataire de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pour l'assister dans la tenue quotidienne de la régie de recettes.</w:t>
      </w:r>
    </w:p>
    <w:p w:rsidR="00E74C7F" w:rsidRPr="00052B60" w:rsidRDefault="00E74C7F" w:rsidP="00E74C7F">
      <w:pPr>
        <w:spacing w:before="120"/>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4</w:t>
      </w:r>
    </w:p>
    <w:p w:rsidR="00E74C7F" w:rsidRPr="00052B60" w:rsidRDefault="00E74C7F" w:rsidP="00E74C7F">
      <w:pPr>
        <w:spacing w:before="120"/>
        <w:jc w:val="both"/>
        <w:rPr>
          <w:rFonts w:ascii="ArialNarrow" w:hAnsi="ArialNarrow" w:cs="ArialNarrow"/>
          <w:color w:val="000000"/>
          <w:sz w:val="20"/>
          <w:szCs w:val="20"/>
        </w:rPr>
      </w:pP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est, éventuellement, astreinte à constituer un cautionnement.</w:t>
      </w:r>
    </w:p>
    <w:p w:rsidR="00E74C7F" w:rsidRPr="00052B60" w:rsidRDefault="00E74C7F" w:rsidP="00E74C7F">
      <w:pPr>
        <w:spacing w:before="120"/>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5</w:t>
      </w:r>
    </w:p>
    <w:p w:rsidR="00E74C7F" w:rsidRPr="00052B60" w:rsidRDefault="00E74C7F" w:rsidP="00E74C7F">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Le régisseur est conformément à la règlementation en vigueur personnellemen</w:t>
      </w:r>
      <w:r>
        <w:rPr>
          <w:rFonts w:ascii="ArialNarrow" w:hAnsi="ArialNarrow" w:cs="ArialNarrow"/>
          <w:color w:val="000000"/>
          <w:sz w:val="20"/>
          <w:szCs w:val="20"/>
        </w:rPr>
        <w:t>t et pécuniairement responsable</w:t>
      </w:r>
      <w:r w:rsidRPr="00052B60">
        <w:rPr>
          <w:rFonts w:ascii="ArialNarrow" w:hAnsi="ArialNarrow" w:cs="ArialNarrow"/>
          <w:color w:val="000000"/>
          <w:sz w:val="20"/>
          <w:szCs w:val="20"/>
        </w:rPr>
        <w:t xml:space="preserve"> de la garde et de la conserva</w:t>
      </w:r>
      <w:r>
        <w:rPr>
          <w:rFonts w:ascii="ArialNarrow" w:hAnsi="ArialNarrow" w:cs="ArialNarrow"/>
          <w:color w:val="000000"/>
          <w:sz w:val="20"/>
          <w:szCs w:val="20"/>
        </w:rPr>
        <w:t>tion des fonds et valeurs qu'il</w:t>
      </w:r>
      <w:r w:rsidRPr="00052B60">
        <w:rPr>
          <w:rFonts w:ascii="ArialNarrow" w:hAnsi="ArialNarrow" w:cs="ArialNarrow"/>
          <w:color w:val="000000"/>
          <w:sz w:val="20"/>
          <w:szCs w:val="20"/>
        </w:rPr>
        <w:t xml:space="preserve"> recueille</w:t>
      </w:r>
      <w:r>
        <w:rPr>
          <w:rFonts w:ascii="ArialNarrow" w:hAnsi="ArialNarrow" w:cs="ArialNarrow"/>
          <w:color w:val="000000"/>
          <w:sz w:val="20"/>
          <w:szCs w:val="20"/>
        </w:rPr>
        <w:t xml:space="preserve"> ou qui lui</w:t>
      </w:r>
      <w:r w:rsidRPr="00052B60">
        <w:rPr>
          <w:rFonts w:ascii="ArialNarrow" w:hAnsi="ArialNarrow" w:cs="ArialNarrow"/>
          <w:color w:val="000000"/>
          <w:sz w:val="20"/>
          <w:szCs w:val="20"/>
        </w:rPr>
        <w:t xml:space="preserve"> </w:t>
      </w:r>
      <w:r>
        <w:rPr>
          <w:rFonts w:ascii="ArialNarrow" w:hAnsi="ArialNarrow" w:cs="ArialNarrow"/>
          <w:color w:val="000000"/>
          <w:sz w:val="20"/>
          <w:szCs w:val="20"/>
        </w:rPr>
        <w:t>sont</w:t>
      </w:r>
      <w:r w:rsidRPr="00052B60">
        <w:rPr>
          <w:rFonts w:ascii="ArialNarrow" w:hAnsi="ArialNarrow" w:cs="ArialNarrow"/>
          <w:color w:val="000000"/>
          <w:sz w:val="20"/>
          <w:szCs w:val="20"/>
        </w:rPr>
        <w:t xml:space="preserve"> avancé</w:t>
      </w:r>
      <w:r>
        <w:rPr>
          <w:rFonts w:ascii="ArialNarrow" w:hAnsi="ArialNarrow" w:cs="ArialNarrow"/>
          <w:color w:val="000000"/>
          <w:sz w:val="20"/>
          <w:szCs w:val="20"/>
        </w:rPr>
        <w:t>s</w:t>
      </w:r>
      <w:r w:rsidRPr="00052B60">
        <w:rPr>
          <w:rFonts w:ascii="ArialNarrow" w:hAnsi="ArialNarrow" w:cs="ArialNarrow"/>
          <w:color w:val="000000"/>
          <w:sz w:val="20"/>
          <w:szCs w:val="20"/>
        </w:rPr>
        <w:t xml:space="preserve"> par le comptable public, du maniement des fonds et des mouvements de comptes de disponibilités, de la conservation des pièces justificatives ainsi que de la tenue de la comptabilité des opérations.</w:t>
      </w:r>
    </w:p>
    <w:p w:rsidR="00E74C7F" w:rsidRPr="00052B60" w:rsidRDefault="00E74C7F" w:rsidP="00E74C7F">
      <w:pPr>
        <w:tabs>
          <w:tab w:val="left" w:pos="851"/>
        </w:tabs>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b/>
          <w:color w:val="000000"/>
          <w:sz w:val="20"/>
          <w:szCs w:val="20"/>
        </w:rPr>
      </w:pPr>
      <w:r w:rsidRPr="00052B60">
        <w:rPr>
          <w:rFonts w:ascii="ArialNarrow" w:hAnsi="ArialNarrow" w:cs="ArialNarrow"/>
          <w:b/>
          <w:color w:val="000000"/>
          <w:sz w:val="20"/>
          <w:szCs w:val="20"/>
        </w:rPr>
        <w:t>Article 6</w:t>
      </w:r>
    </w:p>
    <w:p w:rsidR="00E74C7F" w:rsidRPr="00052B60" w:rsidRDefault="00E74C7F" w:rsidP="00E74C7F">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Le régisseur et </w:t>
      </w:r>
      <w:r>
        <w:rPr>
          <w:rFonts w:ascii="ArialNarrow" w:hAnsi="ArialNarrow" w:cs="ArialNarrow"/>
          <w:color w:val="000000"/>
          <w:sz w:val="20"/>
          <w:szCs w:val="20"/>
        </w:rPr>
        <w:t xml:space="preserve">le </w:t>
      </w:r>
      <w:r w:rsidRPr="00052B60">
        <w:rPr>
          <w:rFonts w:ascii="ArialNarrow" w:hAnsi="ArialNarrow" w:cs="ArialNarrow"/>
          <w:color w:val="000000"/>
          <w:sz w:val="20"/>
          <w:szCs w:val="20"/>
        </w:rPr>
        <w:t>suppléant ne doivent pas percevoir de sommes pour des produits autres que ceux énumérés dans l'acte constitutif de la régie, sous peine d'être constitués comptable de fait et de s'exposer aux poursuites judiciaires et pénales prévues par l'article 432-10 du nouveau code pénal.</w:t>
      </w:r>
    </w:p>
    <w:p w:rsidR="00E74C7F" w:rsidRPr="00052B60" w:rsidRDefault="00E74C7F" w:rsidP="00E74C7F">
      <w:pPr>
        <w:spacing w:before="120"/>
        <w:jc w:val="both"/>
        <w:rPr>
          <w:rFonts w:ascii="ArialNarrow" w:hAnsi="ArialNarrow" w:cs="ArialNarrow"/>
          <w:color w:val="000000"/>
          <w:sz w:val="20"/>
          <w:szCs w:val="20"/>
        </w:rPr>
      </w:pPr>
    </w:p>
    <w:p w:rsidR="00E74C7F" w:rsidRPr="00052B60" w:rsidRDefault="00E74C7F" w:rsidP="00E74C7F">
      <w:pPr>
        <w:spacing w:before="120"/>
        <w:jc w:val="both"/>
        <w:rPr>
          <w:rFonts w:ascii="ArialNarrow" w:hAnsi="ArialNarrow" w:cs="ArialNarrow"/>
          <w:color w:val="000000"/>
          <w:sz w:val="20"/>
          <w:szCs w:val="20"/>
        </w:rPr>
      </w:pPr>
      <w:r>
        <w:rPr>
          <w:rFonts w:ascii="ArialNarrow" w:hAnsi="ArialNarrow" w:cs="ArialNarrow"/>
          <w:color w:val="000000"/>
          <w:sz w:val="20"/>
          <w:szCs w:val="20"/>
        </w:rPr>
        <w:t>à</w:t>
      </w:r>
      <w:r w:rsidRPr="00052B60">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VILLE_EPLE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«VILLE_EPLE»</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 xml:space="preserve">, le </w:t>
      </w:r>
      <w:sdt>
        <w:sdtPr>
          <w:rPr>
            <w:rFonts w:ascii="ArialNarrow" w:hAnsi="ArialNarrow" w:cs="ArialNarrow"/>
            <w:color w:val="000000"/>
            <w:sz w:val="20"/>
            <w:szCs w:val="20"/>
          </w:rPr>
          <w:id w:val="2112554220"/>
          <w:placeholder>
            <w:docPart w:val="00CD17BCB3AF4AB7951F0E860A20C4BC"/>
          </w:placeholder>
          <w:text/>
        </w:sdtPr>
        <w:sdtContent>
          <w:r>
            <w:rPr>
              <w:rFonts w:ascii="ArialNarrow" w:hAnsi="ArialNarrow" w:cs="ArialNarrow"/>
              <w:color w:val="000000"/>
              <w:sz w:val="20"/>
              <w:szCs w:val="20"/>
            </w:rPr>
            <w:t>12 février 2020</w:t>
          </w:r>
        </w:sdtContent>
      </w:sdt>
    </w:p>
    <w:p w:rsidR="00E74C7F" w:rsidRPr="00052B60" w:rsidRDefault="00E74C7F" w:rsidP="00E74C7F">
      <w:pPr>
        <w:tabs>
          <w:tab w:val="left" w:pos="5670"/>
        </w:tabs>
        <w:spacing w:before="120" w:after="0"/>
        <w:jc w:val="both"/>
        <w:rPr>
          <w:rFonts w:ascii="ArialNarrow" w:hAnsi="ArialNarrow" w:cs="ArialNarrow"/>
          <w:color w:val="000000"/>
          <w:sz w:val="20"/>
          <w:szCs w:val="20"/>
        </w:rPr>
      </w:pPr>
      <w:r w:rsidRPr="00052B60">
        <w:rPr>
          <w:rFonts w:ascii="ArialNarrow" w:hAnsi="ArialNarrow" w:cs="ArialNarrow"/>
          <w:color w:val="000000"/>
          <w:sz w:val="20"/>
          <w:szCs w:val="20"/>
        </w:rPr>
        <w:t>Le chef d'établissement,</w:t>
      </w:r>
      <w:r w:rsidRPr="00052B60">
        <w:rPr>
          <w:rFonts w:ascii="ArialNarrow" w:hAnsi="ArialNarrow" w:cs="ArialNarrow"/>
          <w:color w:val="000000"/>
          <w:sz w:val="20"/>
          <w:szCs w:val="20"/>
        </w:rPr>
        <w:tab/>
        <w:t>Le régisseur,</w:t>
      </w:r>
    </w:p>
    <w:p w:rsidR="00E74C7F" w:rsidRPr="00052B60" w:rsidRDefault="00E74C7F" w:rsidP="00E74C7F">
      <w:pPr>
        <w:tabs>
          <w:tab w:val="left" w:pos="5670"/>
        </w:tabs>
        <w:jc w:val="both"/>
        <w:rPr>
          <w:rFonts w:ascii="ArialNarrow" w:hAnsi="ArialNarrow" w:cs="ArialNarrow"/>
          <w:color w:val="000000"/>
          <w:sz w:val="20"/>
          <w:szCs w:val="20"/>
        </w:rPr>
      </w:pP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ordoprenom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«ordoprenom»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ordonom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«ordonom»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ab/>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«NOM»</w:t>
      </w:r>
      <w:r>
        <w:rPr>
          <w:rFonts w:ascii="ArialNarrow" w:hAnsi="ArialNarrow" w:cs="ArialNarrow"/>
          <w:color w:val="000000"/>
          <w:sz w:val="20"/>
          <w:szCs w:val="20"/>
        </w:rPr>
        <w:fldChar w:fldCharType="end"/>
      </w:r>
    </w:p>
    <w:p w:rsidR="00E74C7F" w:rsidRPr="00052B60" w:rsidRDefault="00E74C7F" w:rsidP="00E74C7F">
      <w:pPr>
        <w:tabs>
          <w:tab w:val="left" w:pos="5670"/>
        </w:tabs>
        <w:jc w:val="both"/>
        <w:rPr>
          <w:rFonts w:ascii="ArialNarrow" w:hAnsi="ArialNarrow" w:cs="ArialNarrow"/>
          <w:color w:val="000000"/>
          <w:sz w:val="20"/>
          <w:szCs w:val="20"/>
        </w:rPr>
      </w:pPr>
    </w:p>
    <w:p w:rsidR="00E74C7F" w:rsidRPr="00052B60" w:rsidRDefault="00E74C7F" w:rsidP="00E74C7F">
      <w:pPr>
        <w:tabs>
          <w:tab w:val="left" w:pos="5670"/>
        </w:tabs>
        <w:jc w:val="both"/>
        <w:rPr>
          <w:rFonts w:ascii="ArialNarrow" w:hAnsi="ArialNarrow" w:cs="ArialNarrow"/>
          <w:color w:val="000000"/>
          <w:sz w:val="20"/>
          <w:szCs w:val="20"/>
        </w:rPr>
      </w:pPr>
    </w:p>
    <w:p w:rsidR="00E74C7F" w:rsidRPr="00052B60" w:rsidRDefault="00E74C7F" w:rsidP="00E74C7F">
      <w:pPr>
        <w:tabs>
          <w:tab w:val="left" w:pos="5670"/>
        </w:tabs>
        <w:jc w:val="both"/>
        <w:rPr>
          <w:rFonts w:ascii="ArialNarrow" w:hAnsi="ArialNarrow" w:cs="ArialNarrow"/>
          <w:color w:val="000000"/>
          <w:sz w:val="20"/>
          <w:szCs w:val="20"/>
        </w:rPr>
      </w:pPr>
    </w:p>
    <w:p w:rsidR="00E74C7F" w:rsidRPr="00052B60" w:rsidRDefault="00E74C7F" w:rsidP="00E74C7F">
      <w:pPr>
        <w:tabs>
          <w:tab w:val="left" w:pos="5670"/>
        </w:tabs>
        <w:jc w:val="both"/>
        <w:rPr>
          <w:rFonts w:ascii="ArialNarrow" w:hAnsi="ArialNarrow" w:cs="ArialNarrow"/>
          <w:color w:val="000000"/>
          <w:sz w:val="20"/>
          <w:szCs w:val="20"/>
        </w:rPr>
      </w:pPr>
    </w:p>
    <w:p w:rsidR="00E74C7F" w:rsidRPr="00052B60" w:rsidRDefault="00E74C7F" w:rsidP="00E74C7F">
      <w:pPr>
        <w:tabs>
          <w:tab w:val="left" w:pos="5670"/>
        </w:tabs>
        <w:spacing w:before="120" w:after="0"/>
        <w:jc w:val="both"/>
        <w:rPr>
          <w:rFonts w:ascii="ArialNarrow" w:hAnsi="ArialNarrow" w:cs="ArialNarrow"/>
          <w:color w:val="000000"/>
          <w:sz w:val="20"/>
          <w:szCs w:val="20"/>
        </w:rPr>
      </w:pPr>
      <w:r w:rsidRPr="00052B60">
        <w:rPr>
          <w:rFonts w:ascii="ArialNarrow" w:hAnsi="ArialNarrow" w:cs="ArialNarrow"/>
          <w:color w:val="000000"/>
          <w:sz w:val="20"/>
          <w:szCs w:val="20"/>
        </w:rPr>
        <w:t>Le suppléant,</w:t>
      </w:r>
      <w:r w:rsidRPr="00052B60">
        <w:rPr>
          <w:rFonts w:ascii="ArialNarrow" w:hAnsi="ArialNarrow" w:cs="ArialNarrow"/>
          <w:color w:val="000000"/>
          <w:sz w:val="20"/>
          <w:szCs w:val="20"/>
        </w:rPr>
        <w:tab/>
        <w:t>Le mandataire,</w:t>
      </w:r>
    </w:p>
    <w:p w:rsidR="00E74C7F" w:rsidRPr="00052B60" w:rsidRDefault="00E74C7F" w:rsidP="00E74C7F">
      <w:pPr>
        <w:tabs>
          <w:tab w:val="left" w:pos="5670"/>
        </w:tabs>
        <w:jc w:val="both"/>
        <w:rPr>
          <w:rFonts w:ascii="ArialNarrow" w:hAnsi="ArialNarrow" w:cs="ArialNarrow"/>
          <w:color w:val="000000"/>
          <w:sz w:val="20"/>
          <w:szCs w:val="20"/>
        </w:rPr>
      </w:pP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SuppPrénom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«SuppPrénom»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SuppNOM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«SuppNOM»</w:t>
      </w:r>
      <w:r>
        <w:rPr>
          <w:rFonts w:ascii="ArialNarrow" w:hAnsi="ArialNarrow" w:cs="ArialNarrow"/>
          <w:color w:val="000000"/>
          <w:sz w:val="20"/>
          <w:szCs w:val="20"/>
        </w:rPr>
        <w:fldChar w:fldCharType="end"/>
      </w:r>
      <w:r w:rsidRPr="00052B60">
        <w:rPr>
          <w:rFonts w:ascii="ArialNarrow" w:hAnsi="ArialNarrow" w:cs="ArialNarrow"/>
          <w:color w:val="000000"/>
          <w:sz w:val="20"/>
          <w:szCs w:val="20"/>
        </w:rPr>
        <w:tab/>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MandatairePrénom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«MandatairePrénom»</w:t>
      </w:r>
      <w:r>
        <w:rPr>
          <w:rFonts w:ascii="ArialNarrow" w:hAnsi="ArialNarrow" w:cs="ArialNarrow"/>
          <w:color w:val="000000"/>
          <w:sz w:val="20"/>
          <w:szCs w:val="20"/>
        </w:rPr>
        <w:fldChar w:fldCharType="end"/>
      </w:r>
      <w:r>
        <w:rPr>
          <w:rFonts w:ascii="ArialNarrow" w:hAnsi="ArialNarrow" w:cs="ArialNarrow"/>
          <w:color w:val="000000"/>
          <w:sz w:val="20"/>
          <w:szCs w:val="20"/>
        </w:rPr>
        <w:t xml:space="preserve"> </w:t>
      </w:r>
      <w:r>
        <w:rPr>
          <w:rFonts w:ascii="ArialNarrow" w:hAnsi="ArialNarrow" w:cs="ArialNarrow"/>
          <w:color w:val="000000"/>
          <w:sz w:val="20"/>
          <w:szCs w:val="20"/>
        </w:rPr>
        <w:fldChar w:fldCharType="begin"/>
      </w:r>
      <w:r>
        <w:rPr>
          <w:rFonts w:ascii="ArialNarrow" w:hAnsi="ArialNarrow" w:cs="ArialNarrow"/>
          <w:color w:val="000000"/>
          <w:sz w:val="20"/>
          <w:szCs w:val="20"/>
        </w:rPr>
        <w:instrText xml:space="preserve"> MERGEFIELD MandataireNOM </w:instrText>
      </w:r>
      <w:r>
        <w:rPr>
          <w:rFonts w:ascii="ArialNarrow" w:hAnsi="ArialNarrow" w:cs="ArialNarrow"/>
          <w:color w:val="000000"/>
          <w:sz w:val="20"/>
          <w:szCs w:val="20"/>
        </w:rPr>
        <w:fldChar w:fldCharType="separate"/>
      </w:r>
      <w:r>
        <w:rPr>
          <w:rFonts w:ascii="ArialNarrow" w:hAnsi="ArialNarrow" w:cs="ArialNarrow"/>
          <w:noProof/>
          <w:color w:val="000000"/>
          <w:sz w:val="20"/>
          <w:szCs w:val="20"/>
        </w:rPr>
        <w:t>«MandataireNOM»</w:t>
      </w:r>
      <w:r>
        <w:rPr>
          <w:rFonts w:ascii="ArialNarrow" w:hAnsi="ArialNarrow" w:cs="ArialNarrow"/>
          <w:color w:val="000000"/>
          <w:sz w:val="20"/>
          <w:szCs w:val="20"/>
        </w:rPr>
        <w:fldChar w:fldCharType="end"/>
      </w:r>
    </w:p>
    <w:p w:rsidR="00E74C7F" w:rsidRPr="00052B60" w:rsidRDefault="00E74C7F" w:rsidP="00E74C7F">
      <w:pPr>
        <w:jc w:val="both"/>
        <w:rPr>
          <w:rFonts w:ascii="ArialNarrow" w:hAnsi="ArialNarrow" w:cs="ArialNarrow"/>
          <w:color w:val="000000"/>
          <w:sz w:val="20"/>
          <w:szCs w:val="20"/>
        </w:rPr>
      </w:pPr>
    </w:p>
    <w:p w:rsidR="00E74C7F" w:rsidRPr="00052B60" w:rsidRDefault="00E74C7F" w:rsidP="00E74C7F">
      <w:pPr>
        <w:jc w:val="both"/>
        <w:rPr>
          <w:rFonts w:ascii="ArialNarrow" w:hAnsi="ArialNarrow" w:cs="ArialNarrow"/>
          <w:color w:val="000000"/>
          <w:sz w:val="20"/>
          <w:szCs w:val="20"/>
        </w:rPr>
      </w:pPr>
    </w:p>
    <w:p w:rsidR="00E74C7F" w:rsidRPr="00052B60" w:rsidRDefault="00E74C7F" w:rsidP="00E74C7F">
      <w:pPr>
        <w:jc w:val="both"/>
        <w:rPr>
          <w:rFonts w:ascii="ArialNarrow" w:hAnsi="ArialNarrow" w:cs="ArialNarrow"/>
          <w:color w:val="000000"/>
          <w:sz w:val="20"/>
          <w:szCs w:val="20"/>
        </w:rPr>
      </w:pPr>
    </w:p>
    <w:p w:rsidR="00E74C7F" w:rsidRPr="00052B60" w:rsidRDefault="00E74C7F" w:rsidP="00E74C7F">
      <w:pPr>
        <w:jc w:val="both"/>
        <w:rPr>
          <w:rFonts w:ascii="ArialNarrow" w:hAnsi="ArialNarrow" w:cs="ArialNarrow"/>
          <w:color w:val="000000"/>
          <w:sz w:val="20"/>
          <w:szCs w:val="20"/>
        </w:rPr>
      </w:pPr>
    </w:p>
    <w:p w:rsidR="00E74C7F" w:rsidRPr="00052B60" w:rsidRDefault="00E74C7F" w:rsidP="00E74C7F">
      <w:pPr>
        <w:spacing w:before="120" w:after="0"/>
        <w:jc w:val="both"/>
        <w:rPr>
          <w:rFonts w:ascii="ArialNarrow" w:hAnsi="ArialNarrow" w:cs="ArialNarrow"/>
          <w:color w:val="000000"/>
          <w:sz w:val="20"/>
          <w:szCs w:val="20"/>
        </w:rPr>
      </w:pPr>
      <w:r w:rsidRPr="00052B60">
        <w:rPr>
          <w:rFonts w:ascii="ArialNarrow" w:hAnsi="ArialNarrow" w:cs="ArialNarrow"/>
          <w:color w:val="000000"/>
          <w:sz w:val="20"/>
          <w:szCs w:val="20"/>
        </w:rPr>
        <w:t>L'agent comptable,</w:t>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r w:rsidRPr="00052B60">
        <w:rPr>
          <w:rFonts w:ascii="ArialNarrow" w:hAnsi="ArialNarrow" w:cs="ArialNarrow"/>
          <w:color w:val="000000"/>
          <w:sz w:val="20"/>
          <w:szCs w:val="20"/>
        </w:rPr>
        <w:tab/>
      </w:r>
    </w:p>
    <w:p w:rsidR="00E74C7F" w:rsidRPr="00052B60" w:rsidRDefault="00E74C7F" w:rsidP="00E74C7F">
      <w:pPr>
        <w:jc w:val="both"/>
        <w:rPr>
          <w:rFonts w:ascii="ArialNarrow" w:hAnsi="ArialNarrow" w:cs="ArialNarrow"/>
          <w:color w:val="000000"/>
          <w:sz w:val="20"/>
          <w:szCs w:val="20"/>
        </w:rPr>
      </w:pPr>
      <w:r w:rsidRPr="00052B60">
        <w:rPr>
          <w:rFonts w:ascii="ArialNarrow" w:hAnsi="ArialNarrow" w:cs="ArialNarrow"/>
          <w:color w:val="000000"/>
          <w:sz w:val="20"/>
          <w:szCs w:val="20"/>
        </w:rPr>
        <w:t>Grégory GRANDJEAN</w:t>
      </w:r>
    </w:p>
    <w:p w:rsidR="00E74C7F" w:rsidRPr="00052B60" w:rsidRDefault="00E74C7F" w:rsidP="00E74C7F">
      <w:pPr>
        <w:jc w:val="both"/>
        <w:rPr>
          <w:rFonts w:ascii="ArialNarrow" w:hAnsi="ArialNarrow" w:cs="ArialNarrow"/>
          <w:color w:val="000000"/>
          <w:sz w:val="20"/>
          <w:szCs w:val="20"/>
        </w:rPr>
      </w:pPr>
    </w:p>
    <w:p w:rsidR="00B84A5F" w:rsidRPr="00E74C7F" w:rsidRDefault="00B84A5F" w:rsidP="00E74C7F">
      <w:bookmarkStart w:id="0" w:name="_GoBack"/>
      <w:bookmarkEnd w:id="0"/>
    </w:p>
    <w:sectPr w:rsidR="00B84A5F" w:rsidRPr="00E74C7F" w:rsidSect="007271F0">
      <w:headerReference w:type="even" r:id="rId5"/>
      <w:footerReference w:type="default" r:id="rId6"/>
      <w:headerReference w:type="first" r:id="rId7"/>
      <w:footerReference w:type="first" r:id="rId8"/>
      <w:pgSz w:w="11906" w:h="16838" w:code="9"/>
      <w:pgMar w:top="1531"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rPr>
        <w:sz w:val="16"/>
        <w:szCs w:val="16"/>
      </w:rPr>
    </w:sdtEndPr>
    <w:sdtContent>
      <w:p w:rsidR="006E3163" w:rsidRPr="00BE00E8" w:rsidRDefault="00E74C7F" w:rsidP="00BE00E8">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Pr>
            <w:bCs/>
            <w:noProof/>
            <w:sz w:val="16"/>
            <w:szCs w:val="16"/>
          </w:rPr>
          <w:t>2</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Pr>
            <w:bCs/>
            <w:noProof/>
            <w:sz w:val="16"/>
            <w:szCs w:val="16"/>
          </w:rPr>
          <w:t>2</w:t>
        </w:r>
        <w:r w:rsidRPr="004A459D">
          <w:rPr>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82938"/>
      <w:docPartObj>
        <w:docPartGallery w:val="Page Numbers (Top of Page)"/>
        <w:docPartUnique/>
      </w:docPartObj>
    </w:sdtPr>
    <w:sdtEndPr>
      <w:rPr>
        <w:sz w:val="16"/>
        <w:szCs w:val="16"/>
      </w:rPr>
    </w:sdtEndPr>
    <w:sdtContent>
      <w:p w:rsidR="006E3163" w:rsidRPr="00BE00E8" w:rsidRDefault="00E74C7F" w:rsidP="00BE00E8">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Pr>
            <w:bCs/>
            <w:noProof/>
            <w:sz w:val="16"/>
            <w:szCs w:val="16"/>
          </w:rPr>
          <w:t>1</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Pr>
            <w:bCs/>
            <w:noProof/>
            <w:sz w:val="16"/>
            <w:szCs w:val="16"/>
          </w:rPr>
          <w:t>2</w:t>
        </w:r>
        <w:r w:rsidRPr="004A459D">
          <w:rPr>
            <w:bCs/>
            <w:sz w:val="16"/>
            <w:szCs w:val="1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63" w:rsidRDefault="00E74C7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2" o:spid="_x0000_s2050" type="#_x0000_t75" style="position:absolute;margin-left:0;margin-top:0;width:452.9pt;height:640.65pt;z-index:-251656192;mso-position-horizontal:center;mso-position-horizontal-relative:margin;mso-position-vertical:center;mso-position-vertical-relative:margin" o:allowincell="f">
          <v:imagedata r:id="rId1" o:title="en-tete J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63" w:rsidRDefault="00E74C7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1" o:spid="_x0000_s2049" type="#_x0000_t75" style="position:absolute;margin-left:-70.25pt;margin-top:-76.3pt;width:594.4pt;height:70.8pt;z-index:-251657216;mso-position-horizontal-relative:margin;mso-position-vertical-relative:margin" o:allowincell="f">
          <v:imagedata r:id="rId1" o:title="en-tete JM" cropbottom="6001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6028"/>
    <w:multiLevelType w:val="hybridMultilevel"/>
    <w:tmpl w:val="AB021C68"/>
    <w:lvl w:ilvl="0" w:tplc="040C0005">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3641D08"/>
    <w:multiLevelType w:val="hybridMultilevel"/>
    <w:tmpl w:val="F594DCD0"/>
    <w:lvl w:ilvl="0" w:tplc="83B42630">
      <w:start w:val="1"/>
      <w:numFmt w:val="bullet"/>
      <w:lvlText w:val=""/>
      <w:lvlJc w:val="left"/>
      <w:pPr>
        <w:ind w:left="1070" w:hanging="360"/>
      </w:pPr>
      <w:rPr>
        <w:rFonts w:ascii="Webdings" w:hAnsi="Web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E4"/>
    <w:rsid w:val="00B84A5F"/>
    <w:rsid w:val="00E74C7F"/>
    <w:rsid w:val="00E96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D8BB970-1AFB-4995-AF17-C7EFF9B1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63E4"/>
    <w:pPr>
      <w:tabs>
        <w:tab w:val="center" w:pos="4536"/>
        <w:tab w:val="right" w:pos="9072"/>
      </w:tabs>
      <w:spacing w:after="0" w:line="240" w:lineRule="auto"/>
    </w:pPr>
  </w:style>
  <w:style w:type="character" w:customStyle="1" w:styleId="En-tteCar">
    <w:name w:val="En-tête Car"/>
    <w:basedOn w:val="Policepardfaut"/>
    <w:link w:val="En-tte"/>
    <w:uiPriority w:val="99"/>
    <w:rsid w:val="00E963E4"/>
  </w:style>
  <w:style w:type="paragraph" w:styleId="Pieddepage">
    <w:name w:val="footer"/>
    <w:basedOn w:val="Normal"/>
    <w:link w:val="PieddepageCar"/>
    <w:uiPriority w:val="99"/>
    <w:unhideWhenUsed/>
    <w:rsid w:val="00E96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3E4"/>
  </w:style>
  <w:style w:type="character" w:styleId="Emphaseple">
    <w:name w:val="Subtle Emphasis"/>
    <w:basedOn w:val="Policepardfaut"/>
    <w:uiPriority w:val="19"/>
    <w:qFormat/>
    <w:rsid w:val="00E963E4"/>
    <w:rPr>
      <w:i/>
      <w:iCs/>
      <w:color w:val="404040" w:themeColor="text1" w:themeTint="BF"/>
    </w:rPr>
  </w:style>
  <w:style w:type="paragraph" w:styleId="Paragraphedeliste">
    <w:name w:val="List Paragraph"/>
    <w:basedOn w:val="Normal"/>
    <w:uiPriority w:val="34"/>
    <w:qFormat/>
    <w:rsid w:val="00E96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CD17BCB3AF4AB7951F0E860A20C4BC"/>
        <w:category>
          <w:name w:val="Général"/>
          <w:gallery w:val="placeholder"/>
        </w:category>
        <w:types>
          <w:type w:val="bbPlcHdr"/>
        </w:types>
        <w:behaviors>
          <w:behavior w:val="content"/>
        </w:behaviors>
        <w:guid w:val="{536E917F-BBDA-430D-B67F-DEB4FD55ABDB}"/>
      </w:docPartPr>
      <w:docPartBody>
        <w:p w:rsidR="00000000" w:rsidRDefault="0001436D" w:rsidP="0001436D">
          <w:pPr>
            <w:pStyle w:val="00CD17BCB3AF4AB7951F0E860A20C4BC"/>
          </w:pPr>
          <w:r w:rsidRPr="002C652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6D"/>
    <w:rsid w:val="0001436D"/>
    <w:rsid w:val="00343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436D"/>
    <w:rPr>
      <w:color w:val="808080"/>
    </w:rPr>
  </w:style>
  <w:style w:type="paragraph" w:customStyle="1" w:styleId="C3999737CCF84553B4D508D935DB430E">
    <w:name w:val="C3999737CCF84553B4D508D935DB430E"/>
    <w:rsid w:val="0001436D"/>
  </w:style>
  <w:style w:type="paragraph" w:customStyle="1" w:styleId="00CD17BCB3AF4AB7951F0E860A20C4BC">
    <w:name w:val="00CD17BCB3AF4AB7951F0E860A20C4BC"/>
    <w:rsid w:val="0001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GRANDJEAN</dc:creator>
  <cp:keywords/>
  <dc:description/>
  <cp:lastModifiedBy>Gregory GRANDJEAN</cp:lastModifiedBy>
  <cp:revision>2</cp:revision>
  <dcterms:created xsi:type="dcterms:W3CDTF">2020-03-02T21:32:00Z</dcterms:created>
  <dcterms:modified xsi:type="dcterms:W3CDTF">2020-03-02T21:32:00Z</dcterms:modified>
</cp:coreProperties>
</file>