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E4" w:rsidRDefault="00E963E4" w:rsidP="00E963E4">
      <w:pPr>
        <w:spacing w:after="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MERGEFIELD  Nom_EPLE \* Upper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«NOM_EPLE»</w:t>
      </w:r>
      <w:r>
        <w:rPr>
          <w:rFonts w:ascii="Times New Roman" w:hAnsi="Times New Roman" w:cs="Times New Roman"/>
          <w:sz w:val="24"/>
        </w:rPr>
        <w:fldChar w:fldCharType="end"/>
      </w:r>
    </w:p>
    <w:p w:rsidR="00E963E4" w:rsidRPr="007271F0" w:rsidRDefault="00E963E4" w:rsidP="00E963E4">
      <w:pPr>
        <w:spacing w:after="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MERGEFIELD VILLE_EPLE </w:instrText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«VILLE_</w:t>
      </w:r>
      <w:bookmarkStart w:id="0" w:name="_GoBack"/>
      <w:r>
        <w:rPr>
          <w:rFonts w:ascii="Times New Roman" w:hAnsi="Times New Roman" w:cs="Times New Roman"/>
          <w:noProof/>
          <w:sz w:val="24"/>
        </w:rPr>
        <w:t>EPLE</w:t>
      </w:r>
      <w:bookmarkEnd w:id="0"/>
      <w:r>
        <w:rPr>
          <w:rFonts w:ascii="Times New Roman" w:hAnsi="Times New Roman" w:cs="Times New Roman"/>
          <w:noProof/>
          <w:sz w:val="24"/>
        </w:rPr>
        <w:t>»</w:t>
      </w:r>
      <w:r>
        <w:rPr>
          <w:rFonts w:ascii="Times New Roman" w:hAnsi="Times New Roman" w:cs="Times New Roman"/>
          <w:sz w:val="24"/>
        </w:rPr>
        <w:fldChar w:fldCharType="end"/>
      </w:r>
    </w:p>
    <w:p w:rsidR="00E963E4" w:rsidRPr="007271F0" w:rsidRDefault="00E963E4" w:rsidP="00E963E4">
      <w:pPr>
        <w:spacing w:after="120"/>
        <w:rPr>
          <w:rStyle w:val="Emphaseple"/>
        </w:rPr>
      </w:pPr>
    </w:p>
    <w:p w:rsidR="00E963E4" w:rsidRDefault="00E963E4" w:rsidP="00E963E4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INSTITUTION RÉGIE PERMANENTE</w:t>
      </w:r>
    </w:p>
    <w:p w:rsidR="00E963E4" w:rsidRPr="00D64FF0" w:rsidRDefault="00E963E4" w:rsidP="00E963E4">
      <w:pPr>
        <w:pBdr>
          <w:bottom w:val="single" w:sz="4" w:space="1" w:color="auto"/>
        </w:pBdr>
        <w:spacing w:after="1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D’AVANCES ET DE RECETTES</w:t>
      </w:r>
    </w:p>
    <w:sdt>
      <w:sdtPr>
        <w:rPr>
          <w:rFonts w:ascii="Arial Narrow" w:hAnsi="Arial Narrow"/>
          <w:b/>
          <w:sz w:val="20"/>
          <w:szCs w:val="20"/>
        </w:rPr>
        <w:id w:val="1246237464"/>
        <w:placeholder>
          <w:docPart w:val="C3999737CCF84553B4D508D935DB430E"/>
        </w:placeholder>
        <w:text/>
      </w:sdtPr>
      <w:sdtContent>
        <w:p w:rsidR="00E963E4" w:rsidRPr="007271F0" w:rsidRDefault="00E963E4" w:rsidP="00E963E4">
          <w:pPr>
            <w:spacing w:after="120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6 juin 2019</w:t>
          </w:r>
        </w:p>
      </w:sdtContent>
    </w:sdt>
    <w:p w:rsidR="00E963E4" w:rsidRDefault="00E963E4" w:rsidP="00E963E4">
      <w:pPr>
        <w:spacing w:after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after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chef d’établissement,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le code de l’éducation, notamment l’article R421-70,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Vu le décret n°2012-1246 du </w:t>
      </w:r>
      <w:r>
        <w:rPr>
          <w:rFonts w:ascii="ArialNarrow" w:hAnsi="ArialNarrow" w:cs="ArialNarrow"/>
          <w:color w:val="000000"/>
          <w:sz w:val="20"/>
          <w:szCs w:val="20"/>
        </w:rPr>
        <w:t>0</w:t>
      </w:r>
      <w:r w:rsidRPr="00541C84">
        <w:rPr>
          <w:rFonts w:ascii="ArialNarrow" w:hAnsi="ArialNarrow" w:cs="ArialNarrow"/>
          <w:color w:val="000000"/>
          <w:sz w:val="20"/>
          <w:szCs w:val="20"/>
        </w:rPr>
        <w:t>7/11/2012 relatif à la gestion budgétaire et comptable publique des EPLE</w:t>
      </w:r>
      <w:r>
        <w:rPr>
          <w:rFonts w:ascii="ArialNarrow" w:hAnsi="ArialNarrow" w:cs="ArialNarrow"/>
          <w:color w:val="000000"/>
          <w:sz w:val="20"/>
          <w:szCs w:val="20"/>
        </w:rPr>
        <w:t>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Vu le décret n°2008-227 du </w:t>
      </w:r>
      <w:r>
        <w:rPr>
          <w:rFonts w:ascii="ArialNarrow" w:hAnsi="ArialNarrow" w:cs="ArialNarrow"/>
          <w:color w:val="000000"/>
          <w:sz w:val="20"/>
          <w:szCs w:val="20"/>
        </w:rPr>
        <w:t>0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5/03/2008 relatif à la responsabilité personnelle et pécuniaire des régisseurs, 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le décret n°85-924 du 30/08/1985 relatif aux établissements publics locaux d’enseignement,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le décret n°92-681 du 20/07/1992 relatif aux régies de recettes et aux régies d’avances des organismes publics, modifié par les décrets n°92-1368 du 23/12/1992 et 97-33 du 13/01/1997,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l’arrêté du 27/12/2001 relatif au seuil de dispense de cautionnement des régisseurs d’avances et des régisseurs de recettes,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l’arrêté du 04/06/1996 relatif au montant par opération des dépenses de matériel et de fonctionnement payables par l’intermédiaire d’un régisseur d’avances, modifié par l’arrêté du 28/01/02,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l’arrêté du 28/05/93 fixant le taux de l’indemnité susceptible d’être allouée aux régisseurs d’avances et aux régisseurs de recettes et le montant du cautionnement imposé éventuellement à ces agents, modifié par l’arrêté du 03/09/2001,</w:t>
      </w:r>
    </w:p>
    <w:p w:rsidR="00E963E4" w:rsidRPr="00541C84" w:rsidRDefault="00E963E4" w:rsidP="00E963E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Vu l’arrêté du 11/10/1993 modifié par l’arrêté du 10/09/1998 habilitant les chefs d’EPLE à instituer des régies d’avances et de recettes, modifié par les arrêtés des 21/12/2001, 21/11/05 et du 30/12/2014,</w:t>
      </w:r>
    </w:p>
    <w:p w:rsidR="00E963E4" w:rsidRDefault="00E963E4" w:rsidP="00E963E4">
      <w:pPr>
        <w:tabs>
          <w:tab w:val="left" w:pos="851"/>
        </w:tabs>
        <w:ind w:left="851"/>
        <w:jc w:val="both"/>
        <w:rPr>
          <w:rFonts w:ascii="ArialNarrow" w:hAnsi="ArialNarrow" w:cs="ArialNarrow"/>
          <w:color w:val="000000"/>
          <w:sz w:val="21"/>
          <w:szCs w:val="21"/>
        </w:rPr>
      </w:pPr>
      <w:r>
        <w:rPr>
          <w:rFonts w:ascii="ArialNarrow" w:hAnsi="ArialNarrow" w:cs="ArialNarrow"/>
          <w:color w:val="000000"/>
          <w:sz w:val="21"/>
          <w:szCs w:val="21"/>
        </w:rPr>
        <w:t xml:space="preserve"> </w:t>
      </w:r>
    </w:p>
    <w:p w:rsidR="00E963E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1"/>
          <w:szCs w:val="21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DECIDE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1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Il est institué auprès du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Nom_EPLE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«Nom_EPLE»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Pr="00541C84">
        <w:rPr>
          <w:rFonts w:ascii="ArialNarrow" w:hAnsi="ArialNarrow" w:cs="ArialNarrow"/>
          <w:color w:val="000000"/>
          <w:sz w:val="20"/>
          <w:szCs w:val="20"/>
        </w:rPr>
        <w:t>une régie permanente d'avances et de recettes.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2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La régie de recettes est instituée pour l'encaissement des produits mentionnés à l'article 1 de l'arrêté du 11/10/993 modifié :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Ventes de documents, publications, objets confectionnés, déchets et autres objets divers,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Droits d'entrée (expositions, manifestations)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Frais scolaires perçus forfaitairement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Droits d'accès aux restaurants (tickets, cartes magnétiques…)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Remboursement de services rendus (communications téléphoniques, photocopies)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Reversements consécutifs à des dégradations et à des prestations en nature indûment perçues et restant à la charge du personnel ou des élèves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Participation des familles aux sorties et voyages scolaires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Ressources perçues au titre de la taxe d'apprentissage</w:t>
      </w:r>
    </w:p>
    <w:p w:rsidR="00E963E4" w:rsidRPr="00541C84" w:rsidRDefault="00E963E4" w:rsidP="00E963E4">
      <w:pPr>
        <w:pStyle w:val="Paragraphedeliste"/>
        <w:spacing w:before="120"/>
        <w:ind w:left="1068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3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montant maximum de l'encaisse en numéraire s'élève à 1 000 euros.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Un fonds de caisse de 50 euros en sus est possible.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montant maximum sur le compte dépôt de fonds au Trésor de la régie s'élève à 30 000 euros.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lastRenderedPageBreak/>
        <w:t>Article 4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Les recettes, prévues à l'article 2, sont encaissées par le régisseur qui délivre une quittance en cas d'encaissement en numéraire sauf si remise de tickets. Les recettes encaissées, en numéraire, </w:t>
      </w:r>
      <w:r>
        <w:rPr>
          <w:rFonts w:ascii="ArialNarrow" w:hAnsi="ArialNarrow" w:cs="ArialNarrow"/>
          <w:color w:val="000000"/>
          <w:sz w:val="20"/>
          <w:szCs w:val="20"/>
        </w:rPr>
        <w:t>sont décaissées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dès que le montant perçu atteint le montant de l'encaisse maximum autorisée ci-dessus et au minimum une fois par mois.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Les chèques bancaires devront être </w:t>
      </w:r>
      <w:r>
        <w:rPr>
          <w:rFonts w:ascii="ArialNarrow" w:hAnsi="ArialNarrow" w:cs="ArialNarrow"/>
          <w:color w:val="000000"/>
          <w:sz w:val="20"/>
          <w:szCs w:val="20"/>
        </w:rPr>
        <w:t>transmis au service de traitement des chèques (STC)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compétent de la DGFIP 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au plus tard </w:t>
      </w:r>
      <w:r>
        <w:rPr>
          <w:rFonts w:ascii="ArialNarrow" w:hAnsi="ArialNarrow" w:cs="ArialNarrow"/>
          <w:color w:val="000000"/>
          <w:sz w:val="20"/>
          <w:szCs w:val="20"/>
        </w:rPr>
        <w:t>dans les 8 jours suivant leur réception</w:t>
      </w:r>
      <w:r w:rsidRPr="00541C84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régisseur justifie, selon le calendrier défini annuellement et au minimum une fois par mois, à l'agent comptable les recettes encaissées par ses soins.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Les fonds du compte DFT du régisseur seront reversés par virement sur le compte DFT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du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Nom_EPLE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«Nom_EPLE»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dès que le montant maximal autorisé ci-dessus sera atteint et au minimum une fois par mois. 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5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La régie permanente d'avances est instituée pour le paiement des dépenses mentionnées à l'article 6 de l'arrêté du 11/10/1993 modifié, le montant maximum par opération est fixé à 300 euros :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Dépenses de matériel et de fonctionnement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Secours urgents et exceptionnels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Les frais de mission et de stage, y compris les avances sur ces frais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Pour les opérations à l'étranger, toute autre dépense nécessaire au bon fonctionnement du service situé à l'étranger dans des conditions définies par arrêté ministériel</w:t>
      </w:r>
    </w:p>
    <w:p w:rsidR="00E963E4" w:rsidRPr="00541C84" w:rsidRDefault="00E963E4" w:rsidP="00E963E4">
      <w:pPr>
        <w:tabs>
          <w:tab w:val="left" w:pos="851"/>
        </w:tabs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De manière limitative, sont considérées comme dépenses de matériel et fonctionnement :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Acquisition de toutes fournitures, 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Frais de carburant, entretien courant des véhicules appartenant à l'établissement, 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Frais postaux,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Abonnements aux publications, 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Frais de réception et de représentation,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Frais médicaux pour les visites obligatoires et expertises médicales, </w:t>
      </w:r>
    </w:p>
    <w:p w:rsidR="00E963E4" w:rsidRPr="00541C84" w:rsidRDefault="00E963E4" w:rsidP="00E963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Vignettes et timbres fiscaux</w:t>
      </w:r>
    </w:p>
    <w:p w:rsidR="00E963E4" w:rsidRPr="004467E9" w:rsidRDefault="00E963E4" w:rsidP="00E963E4">
      <w:pPr>
        <w:pStyle w:val="Paragraphedeliste"/>
        <w:spacing w:before="120"/>
        <w:ind w:left="1068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6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montant de l'avance à consentir au régisseur est fixé à 300.00 euros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et est versée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sur le compte DFT du régisseur. 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7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Les dépenses liées à la régie d'avances sont effectuées par le régisseur uniquement par chèque ou carte bancaire dans la limite de la règlementation, des documents de la régie, des plafonds et des crédits disponibles</w:t>
      </w:r>
      <w:r>
        <w:rPr>
          <w:rFonts w:ascii="ArialNarrow" w:hAnsi="ArialNarrow" w:cs="ArialNarrow"/>
          <w:color w:val="000000"/>
          <w:sz w:val="20"/>
          <w:szCs w:val="20"/>
        </w:rPr>
        <w:t>, exceptionnellement en espèces.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8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Les dépenses payées par le régisseur seront mandatées </w:t>
      </w:r>
      <w:r>
        <w:rPr>
          <w:rFonts w:ascii="ArialNarrow" w:hAnsi="ArialNarrow" w:cs="ArialNarrow"/>
          <w:color w:val="000000"/>
          <w:sz w:val="20"/>
          <w:szCs w:val="20"/>
        </w:rPr>
        <w:t>avec les pièces justificatives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au maximum dans un délai d'un mois à compter de la date de paiement.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9</w:t>
      </w:r>
    </w:p>
    <w:p w:rsidR="00E963E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Les fonctions de régisseur d'avances et de régisseur de recettes sont confiées à un même agent.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lastRenderedPageBreak/>
        <w:t>Article 10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régisseur est, conformément au barème de l'arrêté du 28/05/1993, assujetti au cautionnement (selon le montant des dépenses).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11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Un compte de dépôt de fonds au Trésor </w:t>
      </w:r>
      <w:r>
        <w:rPr>
          <w:rFonts w:ascii="ArialNarrow" w:hAnsi="ArialNarrow" w:cs="ArialNarrow"/>
          <w:color w:val="000000"/>
          <w:sz w:val="20"/>
          <w:szCs w:val="20"/>
        </w:rPr>
        <w:t>est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ouvert au nom de :</w:t>
      </w:r>
    </w:p>
    <w:p w:rsidR="00E963E4" w:rsidRPr="00541C84" w:rsidRDefault="00E963E4" w:rsidP="00E963E4">
      <w:pPr>
        <w:spacing w:before="120"/>
        <w:jc w:val="center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"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NOM_REGIE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«NOM_REGIE»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"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12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régisseur engage sa responsabilité personnelle et pécuniaire pour les opérations effectuées dans le cadre de la régie.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13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Le régisseur et le cas échéant le suppléant seront désignés par le chef d'établissement, </w:t>
      </w:r>
      <w:r>
        <w:rPr>
          <w:rFonts w:ascii="ArialNarrow" w:hAnsi="ArialNarrow" w:cs="ArialNarrow"/>
          <w:color w:val="000000"/>
          <w:sz w:val="20"/>
          <w:szCs w:val="20"/>
        </w:rPr>
        <w:t>avec l'</w:t>
      </w:r>
      <w:r w:rsidRPr="00541C84">
        <w:rPr>
          <w:rFonts w:ascii="ArialNarrow" w:hAnsi="ArialNarrow" w:cs="ArialNarrow"/>
          <w:color w:val="000000"/>
          <w:sz w:val="20"/>
          <w:szCs w:val="20"/>
        </w:rPr>
        <w:t>agrément de l'agent comptable de l'établissement.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 14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régisseur peut, sous sa responsabilité et dans le respect des cadres règlementaires, désigner des mandataires pour des opérations spécifiques et / ou temporaires.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b/>
          <w:color w:val="000000"/>
          <w:sz w:val="20"/>
          <w:szCs w:val="20"/>
        </w:rPr>
      </w:pPr>
      <w:r w:rsidRPr="00541C84">
        <w:rPr>
          <w:rFonts w:ascii="ArialNarrow" w:hAnsi="ArialNarrow" w:cs="ArialNarrow"/>
          <w:b/>
          <w:color w:val="000000"/>
          <w:sz w:val="20"/>
          <w:szCs w:val="20"/>
        </w:rPr>
        <w:t>Article</w:t>
      </w:r>
      <w:r>
        <w:rPr>
          <w:rFonts w:ascii="ArialNarrow" w:hAnsi="ArialNarrow" w:cs="ArialNarrow"/>
          <w:b/>
          <w:color w:val="000000"/>
          <w:sz w:val="20"/>
          <w:szCs w:val="20"/>
        </w:rPr>
        <w:t xml:space="preserve"> 15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La présente décision prend effet immédiatement. Le chef d'établissement du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Nom_EPLE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«Nom_EPLE»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est chargé de l'exécution de la présente décision.</w:t>
      </w: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E963E4" w:rsidRPr="00541C84" w:rsidRDefault="00E963E4" w:rsidP="00E963E4">
      <w:pPr>
        <w:spacing w:before="120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à</w:t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 VILLE_EPLE \* FirstCap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«VILLE_EPLE»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 w:rsidRPr="00541C84">
        <w:rPr>
          <w:rFonts w:ascii="ArialNarrow" w:hAnsi="ArialNarrow" w:cs="ArialNarrow"/>
          <w:color w:val="000000"/>
          <w:sz w:val="20"/>
          <w:szCs w:val="20"/>
        </w:rPr>
        <w:t xml:space="preserve">, le </w:t>
      </w:r>
      <w:sdt>
        <w:sdtPr>
          <w:rPr>
            <w:rFonts w:ascii="ArialNarrow" w:hAnsi="ArialNarrow" w:cs="ArialNarrow"/>
            <w:color w:val="000000"/>
            <w:sz w:val="20"/>
            <w:szCs w:val="20"/>
          </w:rPr>
          <w:id w:val="2112554220"/>
          <w:placeholder>
            <w:docPart w:val="C3999737CCF84553B4D508D935DB430E"/>
          </w:placeholder>
          <w:text/>
        </w:sdtPr>
        <w:sdtContent>
          <w:r>
            <w:rPr>
              <w:rFonts w:ascii="ArialNarrow" w:hAnsi="ArialNarrow" w:cs="ArialNarrow"/>
              <w:color w:val="000000"/>
              <w:sz w:val="20"/>
              <w:szCs w:val="20"/>
            </w:rPr>
            <w:t>6 juin 2019</w:t>
          </w:r>
        </w:sdtContent>
      </w:sdt>
    </w:p>
    <w:p w:rsidR="00E963E4" w:rsidRPr="00541C84" w:rsidRDefault="00E963E4" w:rsidP="00E963E4">
      <w:pPr>
        <w:spacing w:before="120" w:after="0"/>
        <w:jc w:val="both"/>
        <w:rPr>
          <w:rFonts w:ascii="ArialNarrow" w:hAnsi="ArialNarrow" w:cs="ArialNarrow"/>
          <w:color w:val="000000"/>
          <w:sz w:val="20"/>
          <w:szCs w:val="20"/>
        </w:rPr>
      </w:pPr>
      <w:r w:rsidRPr="00541C84">
        <w:rPr>
          <w:rFonts w:ascii="ArialNarrow" w:hAnsi="ArialNarrow" w:cs="ArialNarrow"/>
          <w:color w:val="000000"/>
          <w:sz w:val="20"/>
          <w:szCs w:val="20"/>
        </w:rPr>
        <w:t>Le chef d'établissement,</w:t>
      </w:r>
    </w:p>
    <w:p w:rsidR="00E963E4" w:rsidRPr="00541C84" w:rsidRDefault="00E963E4" w:rsidP="00E963E4">
      <w:pPr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Prénom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«Prénom»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NOM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«NOM»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  <w:r>
        <w:rPr>
          <w:rFonts w:ascii="ArialNarrow" w:hAnsi="ArialNarrow" w:cs="ArialNarrow"/>
          <w:color w:val="000000"/>
          <w:sz w:val="20"/>
          <w:szCs w:val="20"/>
        </w:rPr>
        <w:t xml:space="preserve">, 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begin"/>
      </w:r>
      <w:r>
        <w:rPr>
          <w:rFonts w:ascii="ArialNarrow" w:hAnsi="ArialNarrow" w:cs="ArialNarrow"/>
          <w:color w:val="000000"/>
          <w:sz w:val="20"/>
          <w:szCs w:val="20"/>
        </w:rPr>
        <w:instrText xml:space="preserve"> MERGEFIELD Titre </w:instrText>
      </w:r>
      <w:r>
        <w:rPr>
          <w:rFonts w:ascii="ArialNarrow" w:hAnsi="ArialNarrow" w:cs="ArialNarrow"/>
          <w:color w:val="000000"/>
          <w:sz w:val="20"/>
          <w:szCs w:val="20"/>
        </w:rPr>
        <w:fldChar w:fldCharType="separate"/>
      </w:r>
      <w:r>
        <w:rPr>
          <w:rFonts w:ascii="ArialNarrow" w:hAnsi="ArialNarrow" w:cs="ArialNarrow"/>
          <w:noProof/>
          <w:color w:val="000000"/>
          <w:sz w:val="20"/>
          <w:szCs w:val="20"/>
        </w:rPr>
        <w:t>«Titre»</w:t>
      </w:r>
      <w:r>
        <w:rPr>
          <w:rFonts w:ascii="ArialNarrow" w:hAnsi="ArialNarrow" w:cs="ArialNarrow"/>
          <w:color w:val="000000"/>
          <w:sz w:val="20"/>
          <w:szCs w:val="20"/>
        </w:rPr>
        <w:fldChar w:fldCharType="end"/>
      </w:r>
    </w:p>
    <w:p w:rsidR="00E963E4" w:rsidRDefault="00E963E4" w:rsidP="00E963E4">
      <w:pPr>
        <w:jc w:val="both"/>
        <w:rPr>
          <w:rFonts w:ascii="ArialNarrow" w:hAnsi="ArialNarrow" w:cs="ArialNarrow"/>
          <w:color w:val="000000"/>
          <w:sz w:val="21"/>
          <w:szCs w:val="21"/>
        </w:rPr>
      </w:pPr>
    </w:p>
    <w:p w:rsidR="00E963E4" w:rsidRDefault="00E963E4" w:rsidP="00E963E4">
      <w:pPr>
        <w:jc w:val="both"/>
        <w:rPr>
          <w:rFonts w:ascii="ArialNarrow" w:hAnsi="ArialNarrow" w:cs="ArialNarrow"/>
          <w:color w:val="000000"/>
          <w:sz w:val="21"/>
          <w:szCs w:val="21"/>
        </w:rPr>
      </w:pPr>
    </w:p>
    <w:p w:rsidR="00B84A5F" w:rsidRDefault="00B84A5F"/>
    <w:sectPr w:rsidR="00B84A5F" w:rsidSect="007271F0">
      <w:headerReference w:type="even" r:id="rId5"/>
      <w:footerReference w:type="default" r:id="rId6"/>
      <w:headerReference w:type="first" r:id="rId7"/>
      <w:footerReference w:type="first" r:id="rId8"/>
      <w:pgSz w:w="11906" w:h="16838" w:code="9"/>
      <w:pgMar w:top="1531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E3163" w:rsidRPr="00BE00E8" w:rsidRDefault="00E963E4" w:rsidP="00BE00E8">
        <w:pPr>
          <w:pStyle w:val="Pieddepage"/>
          <w:jc w:val="right"/>
          <w:rPr>
            <w:sz w:val="16"/>
            <w:szCs w:val="16"/>
          </w:rPr>
        </w:pP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PAGE</w:instrText>
        </w:r>
        <w:r w:rsidRPr="004A459D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4A459D">
          <w:rPr>
            <w:bCs/>
            <w:sz w:val="16"/>
            <w:szCs w:val="16"/>
          </w:rPr>
          <w:fldChar w:fldCharType="end"/>
        </w:r>
        <w:r w:rsidRPr="004A459D">
          <w:rPr>
            <w:sz w:val="16"/>
            <w:szCs w:val="16"/>
          </w:rPr>
          <w:t xml:space="preserve"> / </w:t>
        </w: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NUMPAGES</w:instrText>
        </w:r>
        <w:r w:rsidRPr="004A459D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4A459D">
          <w:rPr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2829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E3163" w:rsidRPr="00BE00E8" w:rsidRDefault="00E963E4" w:rsidP="00BE00E8">
        <w:pPr>
          <w:pStyle w:val="Pieddepage"/>
          <w:jc w:val="right"/>
          <w:rPr>
            <w:sz w:val="16"/>
            <w:szCs w:val="16"/>
          </w:rPr>
        </w:pP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PAGE</w:instrText>
        </w:r>
        <w:r w:rsidRPr="004A459D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1</w:t>
        </w:r>
        <w:r w:rsidRPr="004A459D">
          <w:rPr>
            <w:bCs/>
            <w:sz w:val="16"/>
            <w:szCs w:val="16"/>
          </w:rPr>
          <w:fldChar w:fldCharType="end"/>
        </w:r>
        <w:r w:rsidRPr="004A459D">
          <w:rPr>
            <w:sz w:val="16"/>
            <w:szCs w:val="16"/>
          </w:rPr>
          <w:t xml:space="preserve"> / </w:t>
        </w:r>
        <w:r w:rsidRPr="004A459D">
          <w:rPr>
            <w:bCs/>
            <w:sz w:val="16"/>
            <w:szCs w:val="16"/>
          </w:rPr>
          <w:fldChar w:fldCharType="begin"/>
        </w:r>
        <w:r w:rsidRPr="004A459D">
          <w:rPr>
            <w:bCs/>
            <w:sz w:val="16"/>
            <w:szCs w:val="16"/>
          </w:rPr>
          <w:instrText>NUMPAGES</w:instrText>
        </w:r>
        <w:r w:rsidRPr="004A459D">
          <w:rPr>
            <w:bCs/>
            <w:sz w:val="16"/>
            <w:szCs w:val="16"/>
          </w:rPr>
          <w:fldChar w:fldCharType="separate"/>
        </w:r>
        <w:r>
          <w:rPr>
            <w:bCs/>
            <w:noProof/>
            <w:sz w:val="16"/>
            <w:szCs w:val="16"/>
          </w:rPr>
          <w:t>3</w:t>
        </w:r>
        <w:r w:rsidRPr="004A459D">
          <w:rPr>
            <w:bCs/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63" w:rsidRDefault="00E963E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2" o:spid="_x0000_s2050" type="#_x0000_t75" style="position:absolute;margin-left:0;margin-top:0;width:452.9pt;height:640.65pt;z-index:-251656192;mso-position-horizontal:center;mso-position-horizontal-relative:margin;mso-position-vertical:center;mso-position-vertical-relative:margin" o:allowincell="f">
          <v:imagedata r:id="rId1" o:title="en-tete J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63" w:rsidRDefault="00E963E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03421" o:spid="_x0000_s2049" type="#_x0000_t75" style="position:absolute;margin-left:-70.25pt;margin-top:-76.3pt;width:594.4pt;height:70.8pt;z-index:-251657216;mso-position-horizontal-relative:margin;mso-position-vertical-relative:margin" o:allowincell="f">
          <v:imagedata r:id="rId1" o:title="en-tete JM" cropbottom="6001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6028"/>
    <w:multiLevelType w:val="hybridMultilevel"/>
    <w:tmpl w:val="AB021C6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641D08"/>
    <w:multiLevelType w:val="hybridMultilevel"/>
    <w:tmpl w:val="F594DCD0"/>
    <w:lvl w:ilvl="0" w:tplc="83B42630">
      <w:start w:val="1"/>
      <w:numFmt w:val="bullet"/>
      <w:lvlText w:val=""/>
      <w:lvlJc w:val="left"/>
      <w:pPr>
        <w:ind w:left="107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E4"/>
    <w:rsid w:val="00B84A5F"/>
    <w:rsid w:val="00E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D8BB970-1AFB-4995-AF17-C7EFF9B1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3E4"/>
  </w:style>
  <w:style w:type="paragraph" w:styleId="Pieddepage">
    <w:name w:val="footer"/>
    <w:basedOn w:val="Normal"/>
    <w:link w:val="PieddepageCar"/>
    <w:uiPriority w:val="99"/>
    <w:unhideWhenUsed/>
    <w:rsid w:val="00E9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3E4"/>
  </w:style>
  <w:style w:type="character" w:styleId="Emphaseple">
    <w:name w:val="Subtle Emphasis"/>
    <w:basedOn w:val="Policepardfaut"/>
    <w:uiPriority w:val="19"/>
    <w:qFormat/>
    <w:rsid w:val="00E963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999737CCF84553B4D508D935DB4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E4764-2A4D-499A-939A-B15E30D5E577}"/>
      </w:docPartPr>
      <w:docPartBody>
        <w:p w:rsidR="00000000" w:rsidRDefault="0001436D" w:rsidP="0001436D">
          <w:pPr>
            <w:pStyle w:val="C3999737CCF84553B4D508D935DB430E"/>
          </w:pPr>
          <w:r w:rsidRPr="002C652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D"/>
    <w:rsid w:val="0001436D"/>
    <w:rsid w:val="002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436D"/>
    <w:rPr>
      <w:color w:val="808080"/>
    </w:rPr>
  </w:style>
  <w:style w:type="paragraph" w:customStyle="1" w:styleId="C3999737CCF84553B4D508D935DB430E">
    <w:name w:val="C3999737CCF84553B4D508D935DB430E"/>
    <w:rsid w:val="00014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GRANDJEAN</dc:creator>
  <cp:keywords/>
  <dc:description/>
  <cp:lastModifiedBy>Gregory GRANDJEAN</cp:lastModifiedBy>
  <cp:revision>1</cp:revision>
  <dcterms:created xsi:type="dcterms:W3CDTF">2020-03-02T21:31:00Z</dcterms:created>
  <dcterms:modified xsi:type="dcterms:W3CDTF">2020-03-02T21:31:00Z</dcterms:modified>
</cp:coreProperties>
</file>