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C6" w:rsidRDefault="00C65336" w:rsidP="008C2AC6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4819015" cy="692150"/>
            <wp:effectExtent l="19050" t="0" r="635" b="0"/>
            <wp:docPr id="1" name="Image 1" descr="http://www.intendancezone.net/IMG/arton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intendancezone.net/IMG/arton4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015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EB1" w:rsidRDefault="00CE3118" w:rsidP="00CE3118">
      <w:pPr>
        <w:jc w:val="center"/>
        <w:rPr>
          <w:b/>
          <w:noProof/>
          <w:color w:val="365F91"/>
          <w:sz w:val="28"/>
          <w:szCs w:val="28"/>
          <w:lang w:eastAsia="fr-FR"/>
        </w:rPr>
      </w:pPr>
      <w:r w:rsidRPr="00CE3118">
        <w:rPr>
          <w:b/>
          <w:noProof/>
          <w:color w:val="365F91"/>
          <w:sz w:val="28"/>
          <w:szCs w:val="28"/>
          <w:lang w:eastAsia="fr-FR"/>
        </w:rPr>
        <w:t>Académie de Caen</w:t>
      </w:r>
      <w:r w:rsidR="00C62564">
        <w:rPr>
          <w:b/>
          <w:noProof/>
          <w:color w:val="365F91"/>
          <w:sz w:val="28"/>
          <w:szCs w:val="28"/>
          <w:lang w:eastAsia="fr-FR"/>
        </w:rPr>
        <w:t> : 14, 50 et 61</w:t>
      </w:r>
      <w:r w:rsidR="0078469D">
        <w:rPr>
          <w:b/>
          <w:noProof/>
          <w:color w:val="365F91"/>
          <w:sz w:val="28"/>
          <w:szCs w:val="28"/>
          <w:lang w:eastAsia="fr-FR"/>
        </w:rPr>
        <w:t xml:space="preserve"> </w:t>
      </w:r>
    </w:p>
    <w:p w:rsidR="00EF0BCA" w:rsidRDefault="00B05F3C" w:rsidP="00EF0BCA">
      <w:pPr>
        <w:jc w:val="center"/>
      </w:pPr>
      <w:r>
        <w:t xml:space="preserve"> </w:t>
      </w:r>
      <w:r w:rsidR="000F6661">
        <w:rPr>
          <w:noProof/>
          <w:lang w:eastAsia="fr-FR"/>
        </w:rPr>
        <w:drawing>
          <wp:inline distT="0" distB="0" distL="0" distR="0">
            <wp:extent cx="1669706" cy="1252180"/>
            <wp:effectExtent l="19050" t="0" r="6694" b="0"/>
            <wp:docPr id="3" name="il_fi" descr="http://upload.wikimedia.org/wikipedia/commons/thumb/b/b2/Vue-Est-depuis-Notre-Dame-Saint-Lo.JPG/280px-Vue-Est-depuis-Notre-Dame-Saint-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thumb/b/b2/Vue-Est-depuis-Notre-Dame-Saint-Lo.JPG/280px-Vue-Est-depuis-Notre-Dame-Saint-L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221" cy="1253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A26" w:rsidRPr="00FC5B38" w:rsidRDefault="00046A26" w:rsidP="00046A26">
      <w:pPr>
        <w:jc w:val="center"/>
        <w:rPr>
          <w:b/>
          <w:u w:val="single"/>
        </w:rPr>
      </w:pPr>
      <w:r w:rsidRPr="00FC5B38">
        <w:rPr>
          <w:b/>
          <w:u w:val="single"/>
        </w:rPr>
        <w:t>Réunion départementale du 08/12/2014 :</w:t>
      </w:r>
      <w:r w:rsidR="002907C4">
        <w:rPr>
          <w:b/>
          <w:u w:val="single"/>
        </w:rPr>
        <w:t xml:space="preserve"> compte rendu </w:t>
      </w:r>
    </w:p>
    <w:p w:rsidR="00452005" w:rsidRDefault="00411D16" w:rsidP="006D0A34">
      <w:pPr>
        <w:ind w:firstLine="708"/>
        <w:jc w:val="both"/>
      </w:pPr>
      <w:r>
        <w:t xml:space="preserve">Merci aux collègues qui ont pu se déplacer </w:t>
      </w:r>
      <w:r w:rsidR="009A16E4">
        <w:t xml:space="preserve">et ce </w:t>
      </w:r>
      <w:r>
        <w:t xml:space="preserve">malgré l’invitation tardive. Ce n’est que partie remise pour les autres collègues du 50 qui seront il va sans dire les bienvenus aux autres réunions départementales. </w:t>
      </w:r>
    </w:p>
    <w:p w:rsidR="00411D16" w:rsidRDefault="00411D16" w:rsidP="006D0A34">
      <w:pPr>
        <w:ind w:firstLine="708"/>
        <w:jc w:val="both"/>
      </w:pPr>
      <w:r>
        <w:t xml:space="preserve">Les points qui ont été abordés sont nombreux et variés. La délégation bas-normande reste attachée à son intervention </w:t>
      </w:r>
      <w:r w:rsidR="002907C4">
        <w:t xml:space="preserve">solidaire, </w:t>
      </w:r>
      <w:r>
        <w:t xml:space="preserve">pragmatique et purement professionnelle. </w:t>
      </w:r>
      <w:r w:rsidR="009D7E7F">
        <w:t>Les réunions d’</w:t>
      </w:r>
      <w:proofErr w:type="spellStart"/>
      <w:r w:rsidR="002907C4">
        <w:t>Espac’eple</w:t>
      </w:r>
      <w:proofErr w:type="spellEnd"/>
      <w:r w:rsidR="009D7E7F">
        <w:t>, c’</w:t>
      </w:r>
      <w:r w:rsidR="002907C4">
        <w:t xml:space="preserve">est aussi l’occasion pour les collègues de retrouver leurs pairs et rompre « l’isolement ». </w:t>
      </w:r>
    </w:p>
    <w:p w:rsidR="006D0A34" w:rsidRPr="00AA2410" w:rsidRDefault="006D0A34" w:rsidP="006D0A34">
      <w:pPr>
        <w:pStyle w:val="Paragraphedeliste"/>
        <w:numPr>
          <w:ilvl w:val="0"/>
          <w:numId w:val="5"/>
        </w:numPr>
        <w:jc w:val="both"/>
        <w:rPr>
          <w:b/>
        </w:rPr>
      </w:pPr>
      <w:r w:rsidRPr="00AA2410">
        <w:rPr>
          <w:b/>
          <w:u w:val="single"/>
        </w:rPr>
        <w:t>Tour de table des situations</w:t>
      </w:r>
      <w:r w:rsidR="0084446A" w:rsidRPr="00AA2410">
        <w:rPr>
          <w:b/>
          <w:u w:val="single"/>
        </w:rPr>
        <w:t xml:space="preserve"> </w:t>
      </w:r>
      <w:r w:rsidRPr="00AA2410">
        <w:rPr>
          <w:b/>
        </w:rPr>
        <w:t>:</w:t>
      </w:r>
      <w:r w:rsidR="004540F7" w:rsidRPr="00AA2410">
        <w:rPr>
          <w:b/>
        </w:rPr>
        <w:t xml:space="preserve"> </w:t>
      </w:r>
    </w:p>
    <w:p w:rsidR="006D0A34" w:rsidRDefault="00452005" w:rsidP="00452005">
      <w:pPr>
        <w:pStyle w:val="Paragraphedeliste"/>
        <w:numPr>
          <w:ilvl w:val="0"/>
          <w:numId w:val="6"/>
        </w:numPr>
        <w:spacing w:after="0"/>
        <w:jc w:val="both"/>
      </w:pPr>
      <w:r>
        <w:t>Collègues débutants (le comptable lui-même, son équipe, les adjoints gestionnaires de ses établissements rattachés…)</w:t>
      </w:r>
    </w:p>
    <w:p w:rsidR="00452005" w:rsidRDefault="00452005" w:rsidP="00452005">
      <w:pPr>
        <w:pStyle w:val="Paragraphedeliste"/>
        <w:numPr>
          <w:ilvl w:val="0"/>
          <w:numId w:val="6"/>
        </w:numPr>
        <w:spacing w:after="0"/>
        <w:jc w:val="both"/>
      </w:pPr>
      <w:r>
        <w:t>Volet G</w:t>
      </w:r>
      <w:r w:rsidR="005943F8">
        <w:t>.</w:t>
      </w:r>
      <w:r>
        <w:t>R</w:t>
      </w:r>
      <w:r w:rsidR="005943F8">
        <w:t>.</w:t>
      </w:r>
      <w:r>
        <w:t xml:space="preserve">H </w:t>
      </w:r>
      <w:r w:rsidR="005943F8">
        <w:t xml:space="preserve">dans son service </w:t>
      </w:r>
      <w:r>
        <w:t>(</w:t>
      </w:r>
      <w:r w:rsidR="009D136E">
        <w:t xml:space="preserve">organigrammes, </w:t>
      </w:r>
      <w:r>
        <w:t xml:space="preserve">accompagnement, formation, </w:t>
      </w:r>
      <w:r w:rsidR="008B0999">
        <w:t>délégations de signature</w:t>
      </w:r>
      <w:r>
        <w:t>…)</w:t>
      </w:r>
    </w:p>
    <w:p w:rsidR="00452005" w:rsidRDefault="004540F7" w:rsidP="00452005">
      <w:pPr>
        <w:pStyle w:val="Paragraphedeliste"/>
        <w:numPr>
          <w:ilvl w:val="0"/>
          <w:numId w:val="6"/>
        </w:numPr>
        <w:spacing w:after="0"/>
        <w:jc w:val="both"/>
      </w:pPr>
      <w:r>
        <w:t>Volet</w:t>
      </w:r>
      <w:r w:rsidR="00452005">
        <w:t xml:space="preserve"> relationnel avec les établissements rattachés </w:t>
      </w:r>
    </w:p>
    <w:p w:rsidR="00B92D02" w:rsidRPr="00AA2410" w:rsidRDefault="008B0999" w:rsidP="00DB4275">
      <w:pPr>
        <w:pStyle w:val="Paragraphedeliste"/>
        <w:numPr>
          <w:ilvl w:val="0"/>
          <w:numId w:val="5"/>
        </w:numPr>
        <w:spacing w:after="0"/>
        <w:jc w:val="both"/>
        <w:rPr>
          <w:b/>
          <w:u w:val="single"/>
        </w:rPr>
      </w:pPr>
      <w:r w:rsidRPr="00AA2410">
        <w:rPr>
          <w:b/>
          <w:u w:val="single"/>
        </w:rPr>
        <w:t>Questions techniques :</w:t>
      </w:r>
    </w:p>
    <w:p w:rsidR="009D136E" w:rsidRDefault="009D136E" w:rsidP="008B0999">
      <w:pPr>
        <w:pStyle w:val="Paragraphedeliste"/>
        <w:numPr>
          <w:ilvl w:val="0"/>
          <w:numId w:val="6"/>
        </w:numPr>
        <w:spacing w:after="0"/>
        <w:jc w:val="both"/>
      </w:pPr>
      <w:r>
        <w:t xml:space="preserve">Comptes de classe 4 bloquants au </w:t>
      </w:r>
      <w:proofErr w:type="spellStart"/>
      <w:r>
        <w:t>cofi</w:t>
      </w:r>
      <w:proofErr w:type="spellEnd"/>
    </w:p>
    <w:p w:rsidR="009D136E" w:rsidRDefault="009D136E" w:rsidP="008B0999">
      <w:pPr>
        <w:pStyle w:val="Paragraphedeliste"/>
        <w:numPr>
          <w:ilvl w:val="0"/>
          <w:numId w:val="6"/>
        </w:numPr>
        <w:spacing w:after="0"/>
        <w:jc w:val="both"/>
      </w:pPr>
      <w:r>
        <w:t xml:space="preserve">Procédures (codes d’accès </w:t>
      </w:r>
      <w:proofErr w:type="spellStart"/>
      <w:r>
        <w:t>gfc</w:t>
      </w:r>
      <w:proofErr w:type="spellEnd"/>
      <w:r>
        <w:t xml:space="preserve"> et </w:t>
      </w:r>
      <w:proofErr w:type="spellStart"/>
      <w:r>
        <w:t>efci</w:t>
      </w:r>
      <w:proofErr w:type="spellEnd"/>
      <w:r>
        <w:t xml:space="preserve">, réseau, créances en </w:t>
      </w:r>
      <w:proofErr w:type="spellStart"/>
      <w:r>
        <w:t>pdf</w:t>
      </w:r>
      <w:proofErr w:type="spellEnd"/>
      <w:r>
        <w:t>,..)</w:t>
      </w:r>
    </w:p>
    <w:p w:rsidR="00382F05" w:rsidRDefault="00382F05" w:rsidP="008B0999">
      <w:pPr>
        <w:pStyle w:val="Paragraphedeliste"/>
        <w:numPr>
          <w:ilvl w:val="0"/>
          <w:numId w:val="6"/>
        </w:numPr>
        <w:spacing w:after="0"/>
        <w:jc w:val="both"/>
      </w:pPr>
      <w:r>
        <w:t>Provisions et compte 416 (</w:t>
      </w:r>
      <w:proofErr w:type="spellStart"/>
      <w:r>
        <w:t>anv</w:t>
      </w:r>
      <w:proofErr w:type="spellEnd"/>
      <w:r>
        <w:t>)</w:t>
      </w:r>
    </w:p>
    <w:p w:rsidR="00382F05" w:rsidRDefault="00382F05" w:rsidP="008B0999">
      <w:pPr>
        <w:pStyle w:val="Paragraphedeliste"/>
        <w:numPr>
          <w:ilvl w:val="0"/>
          <w:numId w:val="6"/>
        </w:numPr>
        <w:spacing w:after="0"/>
        <w:jc w:val="both"/>
      </w:pPr>
      <w:r>
        <w:t xml:space="preserve">Extourne </w:t>
      </w:r>
    </w:p>
    <w:p w:rsidR="00453DBF" w:rsidRDefault="00AB76D8" w:rsidP="008B0999">
      <w:pPr>
        <w:pStyle w:val="Paragraphedeliste"/>
        <w:numPr>
          <w:ilvl w:val="0"/>
          <w:numId w:val="6"/>
        </w:numPr>
        <w:spacing w:after="0"/>
        <w:jc w:val="both"/>
      </w:pPr>
      <w:r>
        <w:t>Carte bleue et régies temporaires</w:t>
      </w:r>
    </w:p>
    <w:p w:rsidR="009D136E" w:rsidRPr="00AA2410" w:rsidRDefault="009D136E" w:rsidP="009D136E">
      <w:pPr>
        <w:pStyle w:val="Paragraphedeliste"/>
        <w:numPr>
          <w:ilvl w:val="0"/>
          <w:numId w:val="5"/>
        </w:numPr>
        <w:spacing w:after="0"/>
        <w:jc w:val="both"/>
        <w:rPr>
          <w:b/>
        </w:rPr>
      </w:pPr>
      <w:r w:rsidRPr="00AA2410">
        <w:rPr>
          <w:b/>
          <w:u w:val="single"/>
        </w:rPr>
        <w:t>Points règlementaires</w:t>
      </w:r>
      <w:r w:rsidRPr="00AA2410">
        <w:rPr>
          <w:b/>
        </w:rPr>
        <w:t> :</w:t>
      </w:r>
    </w:p>
    <w:p w:rsidR="009D136E" w:rsidRDefault="009D136E" w:rsidP="009D136E">
      <w:pPr>
        <w:pStyle w:val="Paragraphedeliste"/>
        <w:numPr>
          <w:ilvl w:val="0"/>
          <w:numId w:val="6"/>
        </w:numPr>
        <w:spacing w:after="0"/>
        <w:jc w:val="both"/>
      </w:pPr>
      <w:r>
        <w:t xml:space="preserve">Appui DDFIP (rôle de conseil aux </w:t>
      </w:r>
      <w:proofErr w:type="spellStart"/>
      <w:r>
        <w:t>Eple</w:t>
      </w:r>
      <w:proofErr w:type="spellEnd"/>
      <w:r>
        <w:t xml:space="preserve"> y compris en dehors du cadre d’un audit)</w:t>
      </w:r>
    </w:p>
    <w:p w:rsidR="009D136E" w:rsidRDefault="009D136E" w:rsidP="009D136E">
      <w:pPr>
        <w:pStyle w:val="Paragraphedeliste"/>
        <w:numPr>
          <w:ilvl w:val="0"/>
          <w:numId w:val="6"/>
        </w:numPr>
        <w:spacing w:after="0"/>
        <w:jc w:val="both"/>
      </w:pPr>
      <w:r>
        <w:t>Cas des financements de collectivités territoriales autres que nos collectivités de rattachement (mairies, structures intercommunales, CCAS…)</w:t>
      </w:r>
    </w:p>
    <w:p w:rsidR="00405197" w:rsidRDefault="00405197" w:rsidP="009D136E">
      <w:pPr>
        <w:pStyle w:val="Paragraphedeliste"/>
        <w:numPr>
          <w:ilvl w:val="0"/>
          <w:numId w:val="6"/>
        </w:numPr>
        <w:spacing w:after="0"/>
        <w:jc w:val="both"/>
      </w:pPr>
      <w:r>
        <w:t>FSE et MDL</w:t>
      </w:r>
      <w:r w:rsidR="00520EEE">
        <w:t xml:space="preserve"> (don, lettre de notification…)</w:t>
      </w:r>
    </w:p>
    <w:p w:rsidR="009814D9" w:rsidRDefault="009814D9" w:rsidP="009D136E">
      <w:pPr>
        <w:pStyle w:val="Paragraphedeliste"/>
        <w:numPr>
          <w:ilvl w:val="0"/>
          <w:numId w:val="6"/>
        </w:numPr>
        <w:spacing w:after="0"/>
        <w:jc w:val="both"/>
      </w:pPr>
      <w:r>
        <w:t xml:space="preserve">Remises d’ordre </w:t>
      </w:r>
    </w:p>
    <w:p w:rsidR="009814D9" w:rsidRDefault="009814D9" w:rsidP="009D136E">
      <w:pPr>
        <w:pStyle w:val="Paragraphedeliste"/>
        <w:numPr>
          <w:ilvl w:val="0"/>
          <w:numId w:val="6"/>
        </w:numPr>
        <w:spacing w:after="0"/>
        <w:jc w:val="both"/>
      </w:pPr>
      <w:r>
        <w:t>La réforme de la taxe d’apprentissage</w:t>
      </w:r>
    </w:p>
    <w:p w:rsidR="00AA2410" w:rsidRDefault="00AA2410" w:rsidP="00AA2410">
      <w:pPr>
        <w:spacing w:after="0"/>
        <w:jc w:val="both"/>
      </w:pPr>
    </w:p>
    <w:p w:rsidR="00AA2410" w:rsidRDefault="00AA2410" w:rsidP="00AA2410">
      <w:pPr>
        <w:spacing w:after="0"/>
        <w:jc w:val="both"/>
      </w:pPr>
    </w:p>
    <w:p w:rsidR="00FC48D7" w:rsidRPr="00AA2410" w:rsidRDefault="00FC48D7" w:rsidP="00FC48D7">
      <w:pPr>
        <w:pStyle w:val="Paragraphedeliste"/>
        <w:numPr>
          <w:ilvl w:val="0"/>
          <w:numId w:val="5"/>
        </w:numPr>
        <w:spacing w:after="0"/>
        <w:jc w:val="both"/>
        <w:rPr>
          <w:b/>
          <w:u w:val="single"/>
        </w:rPr>
      </w:pPr>
      <w:r w:rsidRPr="00AA2410">
        <w:rPr>
          <w:b/>
          <w:u w:val="single"/>
        </w:rPr>
        <w:lastRenderedPageBreak/>
        <w:t>La capacité à prélever :</w:t>
      </w:r>
      <w:r w:rsidR="00F23FDF" w:rsidRPr="00AA2410">
        <w:rPr>
          <w:b/>
          <w:u w:val="single"/>
        </w:rPr>
        <w:t xml:space="preserve"> l’avis du comptable</w:t>
      </w:r>
    </w:p>
    <w:p w:rsidR="00FC48D7" w:rsidRDefault="001E7755" w:rsidP="009D136E">
      <w:pPr>
        <w:pStyle w:val="Paragraphedeliste"/>
        <w:numPr>
          <w:ilvl w:val="0"/>
          <w:numId w:val="6"/>
        </w:numPr>
        <w:spacing w:after="0"/>
        <w:jc w:val="both"/>
      </w:pPr>
      <w:r>
        <w:t xml:space="preserve">Ce document est très utile pour l’agent comptable mais l’utilisation et l’interprétation des indicateurs n’est pas </w:t>
      </w:r>
      <w:r w:rsidR="00344B40">
        <w:t>toujours</w:t>
      </w:r>
      <w:r>
        <w:t xml:space="preserve"> aisée </w:t>
      </w:r>
      <w:r w:rsidR="0082344F">
        <w:t xml:space="preserve">(autonomie financière, </w:t>
      </w:r>
      <w:proofErr w:type="spellStart"/>
      <w:r w:rsidR="0082344F">
        <w:t>fdr</w:t>
      </w:r>
      <w:proofErr w:type="spellEnd"/>
      <w:r w:rsidR="0082344F">
        <w:t xml:space="preserve"> N-1, …)</w:t>
      </w:r>
      <w:r w:rsidR="00FF3A0A">
        <w:t xml:space="preserve"> notamment lorsqu’il faut les présenter en CA</w:t>
      </w:r>
    </w:p>
    <w:p w:rsidR="001E7755" w:rsidRDefault="001E7755" w:rsidP="009D136E">
      <w:pPr>
        <w:pStyle w:val="Paragraphedeliste"/>
        <w:numPr>
          <w:ilvl w:val="0"/>
          <w:numId w:val="6"/>
        </w:numPr>
        <w:spacing w:after="0"/>
        <w:jc w:val="both"/>
      </w:pPr>
      <w:r>
        <w:t>La question du</w:t>
      </w:r>
      <w:r w:rsidR="0082344F">
        <w:t xml:space="preserve"> (des)</w:t>
      </w:r>
      <w:r>
        <w:t xml:space="preserve"> stock</w:t>
      </w:r>
      <w:r w:rsidR="0082344F">
        <w:t>(s)</w:t>
      </w:r>
      <w:r>
        <w:t xml:space="preserve"> se pose au regard du nombre de jours de FDR</w:t>
      </w:r>
      <w:r w:rsidR="0082344F">
        <w:t xml:space="preserve"> (on est forcé </w:t>
      </w:r>
      <w:r w:rsidR="00344B40">
        <w:t>de revenir à</w:t>
      </w:r>
      <w:r w:rsidR="0082344F">
        <w:t xml:space="preserve"> la balance en classe 1</w:t>
      </w:r>
      <w:r w:rsidR="00344B40">
        <w:t xml:space="preserve"> pour retrouver nos « anciennes » réserves</w:t>
      </w:r>
      <w:r w:rsidR="0082344F">
        <w:t xml:space="preserve">) </w:t>
      </w:r>
    </w:p>
    <w:p w:rsidR="001E7755" w:rsidRDefault="00344B40" w:rsidP="009D136E">
      <w:pPr>
        <w:pStyle w:val="Paragraphedeliste"/>
        <w:numPr>
          <w:ilvl w:val="0"/>
          <w:numId w:val="6"/>
        </w:numPr>
        <w:spacing w:after="0"/>
        <w:jc w:val="both"/>
      </w:pPr>
      <w:r>
        <w:t xml:space="preserve">Les outils d’extractions (SDE, balances, …) en </w:t>
      </w:r>
      <w:proofErr w:type="spellStart"/>
      <w:r>
        <w:t>xml</w:t>
      </w:r>
      <w:proofErr w:type="spellEnd"/>
      <w:r>
        <w:t xml:space="preserve"> sont très intéressantes pour la comptabilité analytique, ceux qui maitrise</w:t>
      </w:r>
      <w:r w:rsidR="00CD2583">
        <w:t>nt</w:t>
      </w:r>
      <w:r>
        <w:t xml:space="preserve"> bien l’outil vont aider ceux qui sont moins à l’aise (AC et GM).</w:t>
      </w:r>
    </w:p>
    <w:p w:rsidR="00382F05" w:rsidRDefault="00382F05" w:rsidP="00116FCD">
      <w:pPr>
        <w:spacing w:after="0"/>
        <w:jc w:val="both"/>
      </w:pPr>
    </w:p>
    <w:p w:rsidR="00116FCD" w:rsidRDefault="00116FCD" w:rsidP="00116FCD">
      <w:pPr>
        <w:spacing w:after="0"/>
        <w:jc w:val="both"/>
      </w:pPr>
      <w:r>
        <w:t>La prochaine réunion est prévue à la rentrée dans l’Orne mais tous les collègues sont invités y compris ceux qui sont déjà venus à Saint Lo.</w:t>
      </w:r>
    </w:p>
    <w:p w:rsidR="00116FCD" w:rsidRDefault="00116FCD" w:rsidP="00116FCD">
      <w:pPr>
        <w:spacing w:after="0"/>
        <w:jc w:val="both"/>
      </w:pPr>
    </w:p>
    <w:p w:rsidR="00116FCD" w:rsidRDefault="00116FCD" w:rsidP="00116FCD">
      <w:pPr>
        <w:spacing w:after="0"/>
        <w:jc w:val="both"/>
      </w:pPr>
      <w:r>
        <w:t xml:space="preserve">Bonnes fêtes à tous. </w:t>
      </w:r>
    </w:p>
    <w:p w:rsidR="00116FCD" w:rsidRDefault="00116FCD" w:rsidP="00116FCD">
      <w:pPr>
        <w:spacing w:after="0"/>
        <w:jc w:val="both"/>
      </w:pPr>
    </w:p>
    <w:p w:rsidR="00C2119F" w:rsidRDefault="00C2119F" w:rsidP="00B1703B">
      <w:r>
        <w:t xml:space="preserve">Pour le bureau, </w:t>
      </w:r>
    </w:p>
    <w:p w:rsidR="00445549" w:rsidRDefault="00C2119F" w:rsidP="00B1703B">
      <w:r>
        <w:t>Olivier</w:t>
      </w:r>
    </w:p>
    <w:p w:rsidR="005F1E1E" w:rsidRDefault="00FF2368" w:rsidP="00517390">
      <w:pPr>
        <w:jc w:val="center"/>
        <w:rPr>
          <w:b/>
        </w:rPr>
      </w:pPr>
      <w:r w:rsidRPr="00FF2368">
        <w:rPr>
          <w:b/>
        </w:rPr>
        <w:t xml:space="preserve">EE </w:t>
      </w:r>
      <w:r>
        <w:rPr>
          <w:b/>
        </w:rPr>
        <w:t xml:space="preserve">ACADEMIE DE </w:t>
      </w:r>
      <w:r w:rsidRPr="00FF2368">
        <w:rPr>
          <w:b/>
        </w:rPr>
        <w:t>CAEN</w:t>
      </w:r>
      <w:r>
        <w:rPr>
          <w:b/>
        </w:rPr>
        <w:t>, REGION BASSE NORMANDIE</w:t>
      </w:r>
    </w:p>
    <w:tbl>
      <w:tblPr>
        <w:tblW w:w="754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3169"/>
        <w:gridCol w:w="1580"/>
        <w:gridCol w:w="2800"/>
      </w:tblGrid>
      <w:tr w:rsidR="008B4DC4" w:rsidRPr="00517390" w:rsidTr="008B4DC4">
        <w:trPr>
          <w:trHeight w:val="300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C4" w:rsidRPr="008B4DC4" w:rsidRDefault="00FF2368" w:rsidP="008B4DC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t xml:space="preserve"> </w:t>
            </w:r>
            <w:r w:rsidR="00C65336">
              <w:rPr>
                <w:noProof/>
                <w:lang w:eastAsia="fr-FR"/>
              </w:rPr>
              <w:drawing>
                <wp:inline distT="0" distB="0" distL="0" distR="0">
                  <wp:extent cx="656453" cy="458927"/>
                  <wp:effectExtent l="19050" t="0" r="0" b="0"/>
                  <wp:docPr id="4" name="il_fi" descr="basse-normand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basse-normand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852" cy="460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</w:tbl>
    <w:p w:rsidR="008B4DC4" w:rsidRDefault="007E2991" w:rsidP="005F1E1E">
      <w:r>
        <w:t xml:space="preserve">Bulletin </w:t>
      </w:r>
      <w:r w:rsidR="00E43474">
        <w:t>3</w:t>
      </w:r>
      <w:r>
        <w:t xml:space="preserve"> </w:t>
      </w:r>
      <w:r w:rsidR="00641E36">
        <w:t xml:space="preserve"> </w:t>
      </w:r>
      <w:r w:rsidR="0063440E">
        <w:t>20</w:t>
      </w:r>
      <w:r>
        <w:t>1</w:t>
      </w:r>
      <w:r w:rsidR="00E43474">
        <w:t>4</w:t>
      </w:r>
      <w:r>
        <w:t>/</w:t>
      </w:r>
      <w:r w:rsidR="0063440E">
        <w:t>20</w:t>
      </w:r>
      <w:r w:rsidR="00E43474">
        <w:t>15</w:t>
      </w:r>
      <w:r>
        <w:t xml:space="preserve"> du </w:t>
      </w:r>
      <w:r w:rsidR="003A3A54">
        <w:t>16</w:t>
      </w:r>
      <w:r w:rsidR="00E43474">
        <w:t>/12</w:t>
      </w:r>
      <w:r>
        <w:t>/2014</w:t>
      </w:r>
    </w:p>
    <w:sectPr w:rsidR="008B4DC4" w:rsidSect="004F7A6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938" w:rsidRDefault="00A94938" w:rsidP="006F0434">
      <w:pPr>
        <w:spacing w:after="0" w:line="240" w:lineRule="auto"/>
      </w:pPr>
      <w:r>
        <w:separator/>
      </w:r>
    </w:p>
  </w:endnote>
  <w:endnote w:type="continuationSeparator" w:id="0">
    <w:p w:rsidR="00A94938" w:rsidRDefault="00A94938" w:rsidP="006F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81219"/>
      <w:docPartObj>
        <w:docPartGallery w:val="Page Numbers (Bottom of Page)"/>
        <w:docPartUnique/>
      </w:docPartObj>
    </w:sdtPr>
    <w:sdtContent>
      <w:p w:rsidR="00D00824" w:rsidRDefault="0021399C">
        <w:pPr>
          <w:pStyle w:val="Pieddepage"/>
          <w:jc w:val="center"/>
        </w:pPr>
        <w:fldSimple w:instr=" PAGE   \* MERGEFORMAT ">
          <w:r w:rsidR="00AA2410">
            <w:rPr>
              <w:noProof/>
            </w:rPr>
            <w:t>2</w:t>
          </w:r>
        </w:fldSimple>
      </w:p>
    </w:sdtContent>
  </w:sdt>
  <w:p w:rsidR="006F0434" w:rsidRDefault="006F043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938" w:rsidRDefault="00A94938" w:rsidP="006F0434">
      <w:pPr>
        <w:spacing w:after="0" w:line="240" w:lineRule="auto"/>
      </w:pPr>
      <w:r>
        <w:separator/>
      </w:r>
    </w:p>
  </w:footnote>
  <w:footnote w:type="continuationSeparator" w:id="0">
    <w:p w:rsidR="00A94938" w:rsidRDefault="00A94938" w:rsidP="006F0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476FE"/>
    <w:multiLevelType w:val="hybridMultilevel"/>
    <w:tmpl w:val="B21A2F48"/>
    <w:lvl w:ilvl="0" w:tplc="8C1810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20851"/>
    <w:multiLevelType w:val="hybridMultilevel"/>
    <w:tmpl w:val="C82E40B6"/>
    <w:lvl w:ilvl="0" w:tplc="E2A6AA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5788A"/>
    <w:multiLevelType w:val="hybridMultilevel"/>
    <w:tmpl w:val="9254141A"/>
    <w:lvl w:ilvl="0" w:tplc="A0F2F5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3A1465"/>
    <w:multiLevelType w:val="hybridMultilevel"/>
    <w:tmpl w:val="12E2F02A"/>
    <w:lvl w:ilvl="0" w:tplc="E06C50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207E56"/>
    <w:multiLevelType w:val="hybridMultilevel"/>
    <w:tmpl w:val="4C36190E"/>
    <w:lvl w:ilvl="0" w:tplc="5798D0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D18D6"/>
    <w:multiLevelType w:val="hybridMultilevel"/>
    <w:tmpl w:val="7B2A5CDC"/>
    <w:lvl w:ilvl="0" w:tplc="68D4E6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DC4"/>
    <w:rsid w:val="0000001E"/>
    <w:rsid w:val="00001ECA"/>
    <w:rsid w:val="000064A4"/>
    <w:rsid w:val="000068DA"/>
    <w:rsid w:val="0001037E"/>
    <w:rsid w:val="00022525"/>
    <w:rsid w:val="00033376"/>
    <w:rsid w:val="00043C29"/>
    <w:rsid w:val="00046A26"/>
    <w:rsid w:val="000634E1"/>
    <w:rsid w:val="000636EB"/>
    <w:rsid w:val="00077A4B"/>
    <w:rsid w:val="000F4AF2"/>
    <w:rsid w:val="000F6661"/>
    <w:rsid w:val="00116FCD"/>
    <w:rsid w:val="0014581C"/>
    <w:rsid w:val="0014739E"/>
    <w:rsid w:val="0015262B"/>
    <w:rsid w:val="00170EC6"/>
    <w:rsid w:val="00171EEF"/>
    <w:rsid w:val="00186A85"/>
    <w:rsid w:val="001A08DF"/>
    <w:rsid w:val="001A26AC"/>
    <w:rsid w:val="001C1895"/>
    <w:rsid w:val="001E7755"/>
    <w:rsid w:val="001F1EC7"/>
    <w:rsid w:val="001F46EB"/>
    <w:rsid w:val="0021399C"/>
    <w:rsid w:val="0021731D"/>
    <w:rsid w:val="002264DA"/>
    <w:rsid w:val="00242387"/>
    <w:rsid w:val="002456FF"/>
    <w:rsid w:val="00264E14"/>
    <w:rsid w:val="002907C4"/>
    <w:rsid w:val="002957FF"/>
    <w:rsid w:val="002A66ED"/>
    <w:rsid w:val="002C7DAC"/>
    <w:rsid w:val="002E1C90"/>
    <w:rsid w:val="002E1D75"/>
    <w:rsid w:val="00302F1E"/>
    <w:rsid w:val="00315154"/>
    <w:rsid w:val="00324354"/>
    <w:rsid w:val="00334BA8"/>
    <w:rsid w:val="00335021"/>
    <w:rsid w:val="00344B40"/>
    <w:rsid w:val="003578B8"/>
    <w:rsid w:val="00362F2E"/>
    <w:rsid w:val="003716F7"/>
    <w:rsid w:val="00382F05"/>
    <w:rsid w:val="00386591"/>
    <w:rsid w:val="003A3A54"/>
    <w:rsid w:val="003B6142"/>
    <w:rsid w:val="003F5D65"/>
    <w:rsid w:val="0040244D"/>
    <w:rsid w:val="00405197"/>
    <w:rsid w:val="004057D7"/>
    <w:rsid w:val="00411D16"/>
    <w:rsid w:val="00417D83"/>
    <w:rsid w:val="0043094E"/>
    <w:rsid w:val="00431B1D"/>
    <w:rsid w:val="00441D16"/>
    <w:rsid w:val="00445549"/>
    <w:rsid w:val="00452005"/>
    <w:rsid w:val="00453DBF"/>
    <w:rsid w:val="004540F7"/>
    <w:rsid w:val="00463037"/>
    <w:rsid w:val="00480F99"/>
    <w:rsid w:val="004B5395"/>
    <w:rsid w:val="004E1EB1"/>
    <w:rsid w:val="004F2073"/>
    <w:rsid w:val="004F7A66"/>
    <w:rsid w:val="00504FC9"/>
    <w:rsid w:val="005118B4"/>
    <w:rsid w:val="00517390"/>
    <w:rsid w:val="00520EEE"/>
    <w:rsid w:val="00554CBC"/>
    <w:rsid w:val="00567779"/>
    <w:rsid w:val="00576071"/>
    <w:rsid w:val="00576A3A"/>
    <w:rsid w:val="00577DA7"/>
    <w:rsid w:val="005943F8"/>
    <w:rsid w:val="005D2855"/>
    <w:rsid w:val="005F0D84"/>
    <w:rsid w:val="005F1E1E"/>
    <w:rsid w:val="005F7313"/>
    <w:rsid w:val="006042F7"/>
    <w:rsid w:val="00623D3E"/>
    <w:rsid w:val="0063440E"/>
    <w:rsid w:val="00641E36"/>
    <w:rsid w:val="006510D9"/>
    <w:rsid w:val="0065344F"/>
    <w:rsid w:val="00656626"/>
    <w:rsid w:val="00673266"/>
    <w:rsid w:val="00683B8B"/>
    <w:rsid w:val="00687CB0"/>
    <w:rsid w:val="006C47DD"/>
    <w:rsid w:val="006D0A34"/>
    <w:rsid w:val="006D1D44"/>
    <w:rsid w:val="006D30D8"/>
    <w:rsid w:val="006F0434"/>
    <w:rsid w:val="006F499F"/>
    <w:rsid w:val="00714A7C"/>
    <w:rsid w:val="00715387"/>
    <w:rsid w:val="00726106"/>
    <w:rsid w:val="007358D3"/>
    <w:rsid w:val="00742D18"/>
    <w:rsid w:val="007645FF"/>
    <w:rsid w:val="00773F0D"/>
    <w:rsid w:val="0078469D"/>
    <w:rsid w:val="0078740C"/>
    <w:rsid w:val="00790D51"/>
    <w:rsid w:val="007B79A5"/>
    <w:rsid w:val="007C2C09"/>
    <w:rsid w:val="007D4924"/>
    <w:rsid w:val="007D71A0"/>
    <w:rsid w:val="007E2991"/>
    <w:rsid w:val="00811635"/>
    <w:rsid w:val="0082344F"/>
    <w:rsid w:val="00840E2E"/>
    <w:rsid w:val="0084446A"/>
    <w:rsid w:val="00851D43"/>
    <w:rsid w:val="00852434"/>
    <w:rsid w:val="008550DD"/>
    <w:rsid w:val="00877917"/>
    <w:rsid w:val="00880600"/>
    <w:rsid w:val="00890F8A"/>
    <w:rsid w:val="00894861"/>
    <w:rsid w:val="008A622F"/>
    <w:rsid w:val="008B0999"/>
    <w:rsid w:val="008B4DC4"/>
    <w:rsid w:val="008C2AC6"/>
    <w:rsid w:val="008D2AE2"/>
    <w:rsid w:val="00900CC5"/>
    <w:rsid w:val="00902D86"/>
    <w:rsid w:val="00904FA2"/>
    <w:rsid w:val="00914B04"/>
    <w:rsid w:val="009809E4"/>
    <w:rsid w:val="00981043"/>
    <w:rsid w:val="009814D9"/>
    <w:rsid w:val="00995CE0"/>
    <w:rsid w:val="009A16E4"/>
    <w:rsid w:val="009C2E1F"/>
    <w:rsid w:val="009C63C4"/>
    <w:rsid w:val="009D136E"/>
    <w:rsid w:val="009D26EB"/>
    <w:rsid w:val="009D7E7F"/>
    <w:rsid w:val="009F5884"/>
    <w:rsid w:val="00A30947"/>
    <w:rsid w:val="00A34058"/>
    <w:rsid w:val="00A666C6"/>
    <w:rsid w:val="00A81EA6"/>
    <w:rsid w:val="00A94938"/>
    <w:rsid w:val="00A97BDE"/>
    <w:rsid w:val="00AA2410"/>
    <w:rsid w:val="00AB4140"/>
    <w:rsid w:val="00AB76D8"/>
    <w:rsid w:val="00AD64DF"/>
    <w:rsid w:val="00AE3C89"/>
    <w:rsid w:val="00AF2188"/>
    <w:rsid w:val="00AF49A6"/>
    <w:rsid w:val="00B00A95"/>
    <w:rsid w:val="00B04EB6"/>
    <w:rsid w:val="00B05F3C"/>
    <w:rsid w:val="00B1703B"/>
    <w:rsid w:val="00B3579A"/>
    <w:rsid w:val="00B52682"/>
    <w:rsid w:val="00B65E04"/>
    <w:rsid w:val="00B76C61"/>
    <w:rsid w:val="00B92D02"/>
    <w:rsid w:val="00BB06D9"/>
    <w:rsid w:val="00BB2125"/>
    <w:rsid w:val="00BB5081"/>
    <w:rsid w:val="00BC3D07"/>
    <w:rsid w:val="00BE7A76"/>
    <w:rsid w:val="00C052EA"/>
    <w:rsid w:val="00C10E1C"/>
    <w:rsid w:val="00C2119F"/>
    <w:rsid w:val="00C42C2D"/>
    <w:rsid w:val="00C61E0E"/>
    <w:rsid w:val="00C62564"/>
    <w:rsid w:val="00C65336"/>
    <w:rsid w:val="00C7751F"/>
    <w:rsid w:val="00C80352"/>
    <w:rsid w:val="00C86B50"/>
    <w:rsid w:val="00CB2C5D"/>
    <w:rsid w:val="00CD2583"/>
    <w:rsid w:val="00CE3118"/>
    <w:rsid w:val="00CE333F"/>
    <w:rsid w:val="00CF00D9"/>
    <w:rsid w:val="00D00824"/>
    <w:rsid w:val="00D13BB3"/>
    <w:rsid w:val="00D14647"/>
    <w:rsid w:val="00D23CEE"/>
    <w:rsid w:val="00D25EA7"/>
    <w:rsid w:val="00D30D28"/>
    <w:rsid w:val="00D353D8"/>
    <w:rsid w:val="00D56E31"/>
    <w:rsid w:val="00D800C2"/>
    <w:rsid w:val="00D961C8"/>
    <w:rsid w:val="00DA3074"/>
    <w:rsid w:val="00DA34F4"/>
    <w:rsid w:val="00DB4275"/>
    <w:rsid w:val="00DC61FD"/>
    <w:rsid w:val="00DF6413"/>
    <w:rsid w:val="00E02DBF"/>
    <w:rsid w:val="00E04936"/>
    <w:rsid w:val="00E06220"/>
    <w:rsid w:val="00E1179E"/>
    <w:rsid w:val="00E16FFD"/>
    <w:rsid w:val="00E25F15"/>
    <w:rsid w:val="00E43474"/>
    <w:rsid w:val="00E469FB"/>
    <w:rsid w:val="00E87B96"/>
    <w:rsid w:val="00E90519"/>
    <w:rsid w:val="00E97EFB"/>
    <w:rsid w:val="00EB3D63"/>
    <w:rsid w:val="00EB5DCF"/>
    <w:rsid w:val="00EE0A87"/>
    <w:rsid w:val="00EE7C37"/>
    <w:rsid w:val="00EF0BCA"/>
    <w:rsid w:val="00EF34B2"/>
    <w:rsid w:val="00F064EE"/>
    <w:rsid w:val="00F132AD"/>
    <w:rsid w:val="00F23FDF"/>
    <w:rsid w:val="00F31B3E"/>
    <w:rsid w:val="00F542CF"/>
    <w:rsid w:val="00F63CE3"/>
    <w:rsid w:val="00F70CDA"/>
    <w:rsid w:val="00F87DD2"/>
    <w:rsid w:val="00FA5368"/>
    <w:rsid w:val="00FB079F"/>
    <w:rsid w:val="00FB3ABF"/>
    <w:rsid w:val="00FB5BC8"/>
    <w:rsid w:val="00FC48D7"/>
    <w:rsid w:val="00FC5B38"/>
    <w:rsid w:val="00FD325B"/>
    <w:rsid w:val="00FE68AD"/>
    <w:rsid w:val="00FF2368"/>
    <w:rsid w:val="00FF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A6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4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4DC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23CE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E1EB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6F04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F043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F04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0434"/>
    <w:rPr>
      <w:sz w:val="22"/>
      <w:szCs w:val="22"/>
      <w:lang w:eastAsia="en-US"/>
    </w:rPr>
  </w:style>
  <w:style w:type="paragraph" w:customStyle="1" w:styleId="paragraphstyle7">
    <w:name w:val="paragraph_style_7"/>
    <w:basedOn w:val="Normal"/>
    <w:rsid w:val="00BC3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B5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7F6A6-AD2F-4C1A-8B61-5A9D02CD3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</Company>
  <LinksUpToDate>false</LinksUpToDate>
  <CharactersWithSpaces>2335</CharactersWithSpaces>
  <SharedDoc>false</SharedDoc>
  <HLinks>
    <vt:vector size="6" baseType="variant">
      <vt:variant>
        <vt:i4>196735</vt:i4>
      </vt:variant>
      <vt:variant>
        <vt:i4>0</vt:i4>
      </vt:variant>
      <vt:variant>
        <vt:i4>0</vt:i4>
      </vt:variant>
      <vt:variant>
        <vt:i4>5</vt:i4>
      </vt:variant>
      <vt:variant>
        <vt:lpwstr>mailto:int.0141687h@ac-caen.fr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smolar</dc:creator>
  <cp:keywords/>
  <dc:description/>
  <cp:lastModifiedBy>smolar</cp:lastModifiedBy>
  <cp:revision>42</cp:revision>
  <dcterms:created xsi:type="dcterms:W3CDTF">2014-12-09T15:18:00Z</dcterms:created>
  <dcterms:modified xsi:type="dcterms:W3CDTF">2014-12-17T10:51:00Z</dcterms:modified>
</cp:coreProperties>
</file>